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E54FCB" w:rsidP="007B5F12" w14:paraId="6E3725FB" w14:textId="627BF5FC">
      <w:pPr>
        <w:rPr>
          <w:rFonts w:eastAsia="Calibri"/>
        </w:rPr>
      </w:pPr>
      <w:r w:rsidRPr="009168E2">
        <w:rPr>
          <w:rFonts w:eastAsia="Calibri"/>
          <w:sz w:val="16"/>
          <w:szCs w:val="16"/>
        </w:rPr>
        <w:t>Revisjonsdato</w:t>
      </w:r>
      <w:r>
        <w:rPr>
          <w:rFonts w:eastAsia="Calibri"/>
          <w:sz w:val="16"/>
          <w:szCs w:val="16"/>
        </w:rPr>
        <w:t xml:space="preserve"> 08.01.2024</w:t>
      </w:r>
    </w:p>
    <w:p w:rsidR="007B5F12" w:rsidP="007B5F12" w14:paraId="0D7D9F69" w14:textId="24911DF6">
      <w:r w:rsidRPr="008D745C">
        <w:rPr>
          <w:rFonts w:eastAsia="Calibri"/>
        </w:rPr>
        <w:tab/>
        <w:t xml:space="preserve"> </w:t>
      </w:r>
      <w:r w:rsidRPr="00EC641A">
        <w:rPr>
          <w:rFonts w:eastAsia="Calibri"/>
          <w:sz w:val="18"/>
          <w:szCs w:val="18"/>
        </w:rPr>
        <w:t xml:space="preserve"> </w:t>
      </w:r>
      <w:r w:rsidRPr="00EC641A">
        <w:rPr>
          <w:sz w:val="40"/>
          <w:szCs w:val="40"/>
        </w:rPr>
        <w:t>Vilkår for Nettinvesteringer som utløser anleggsbidrag</w:t>
      </w:r>
    </w:p>
    <w:p w:rsidR="007B5F12" w:rsidP="007B5F12" w14:paraId="27592EE0" w14:textId="77777777"/>
    <w:p>
      <w:pPr>
        <w:pStyle w:val="TOC1"/>
        <w:tabs>
          <w:tab w:val="left" w:pos="440"/>
          <w:tab w:val="right" w:leader="dot" w:pos="10456"/>
        </w:tabs>
        <w:rPr>
          <w:rFonts w:asciiTheme="minorHAnsi" w:hAnsiTheme="minorHAnsi"/>
          <w:noProof/>
          <w:sz w:val="22"/>
        </w:rPr>
      </w:pPr>
      <w:r>
        <w:rPr>
          <w:caps w:val="0"/>
        </w:rPr>
        <w:fldChar w:fldCharType="begin"/>
      </w:r>
      <w:r>
        <w:rPr>
          <w:caps w:val="0"/>
        </w:rPr>
        <w:instrText xml:space="preserve"> TOC \o "1-2" \h \z \u </w:instrText>
      </w:r>
      <w:r>
        <w:rPr>
          <w:caps w:val="0"/>
        </w:rPr>
        <w:fldChar w:fldCharType="separate"/>
      </w:r>
      <w:hyperlink w:anchor="_Toc256000000" w:history="1">
        <w:r>
          <w:rPr>
            <w:rStyle w:val="Hyperlink"/>
          </w:rPr>
          <w:t>1</w:t>
        </w:r>
        <w:r>
          <w:rPr>
            <w:rFonts w:asciiTheme="minorHAnsi" w:hAnsiTheme="minorHAnsi"/>
            <w:noProof/>
            <w:sz w:val="22"/>
          </w:rPr>
          <w:tab/>
        </w:r>
        <w:r w:rsidRPr="007B5F12">
          <w:rPr>
            <w:rStyle w:val="Hyperlink"/>
          </w:rPr>
          <w:t>OM ANLEGGSBIDRAG</w:t>
        </w:r>
        <w:r>
          <w:tab/>
        </w:r>
        <w:r>
          <w:fldChar w:fldCharType="begin"/>
        </w:r>
        <w:r>
          <w:instrText xml:space="preserve"> PAGEREF _Toc256000000 \h </w:instrText>
        </w:r>
        <w:r>
          <w:fldChar w:fldCharType="separate"/>
        </w:r>
        <w:r>
          <w:t>2</w:t>
        </w:r>
        <w:r>
          <w:fldChar w:fldCharType="end"/>
        </w:r>
      </w:hyperlink>
    </w:p>
    <w:p>
      <w:pPr>
        <w:pStyle w:val="TOC2"/>
        <w:tabs>
          <w:tab w:val="left" w:pos="880"/>
          <w:tab w:val="right" w:leader="dot" w:pos="1045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sidRPr="007B5F12">
          <w:rPr>
            <w:rStyle w:val="Hyperlink"/>
          </w:rPr>
          <w:t>Hjemmel for anleggsbidrag</w:t>
        </w:r>
        <w:r>
          <w:tab/>
        </w:r>
        <w:r>
          <w:fldChar w:fldCharType="begin"/>
        </w:r>
        <w:r>
          <w:instrText xml:space="preserve"> PAGEREF _Toc256000001 \h </w:instrText>
        </w:r>
        <w:r>
          <w:fldChar w:fldCharType="separate"/>
        </w:r>
        <w:r>
          <w:t>2</w:t>
        </w:r>
        <w:r>
          <w:fldChar w:fldCharType="end"/>
        </w:r>
      </w:hyperlink>
    </w:p>
    <w:p>
      <w:pPr>
        <w:pStyle w:val="TOC2"/>
        <w:tabs>
          <w:tab w:val="left" w:pos="880"/>
          <w:tab w:val="right" w:leader="dot" w:pos="1045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sidRPr="00A53C11">
          <w:rPr>
            <w:rStyle w:val="Hyperlink"/>
          </w:rPr>
          <w:t>Hensikt med anleggsbidrag</w:t>
        </w:r>
        <w:r>
          <w:tab/>
        </w:r>
        <w:r>
          <w:fldChar w:fldCharType="begin"/>
        </w:r>
        <w:r>
          <w:instrText xml:space="preserve"> PAGEREF _Toc256000002 \h </w:instrText>
        </w:r>
        <w:r>
          <w:fldChar w:fldCharType="separate"/>
        </w:r>
        <w:r>
          <w:t>2</w:t>
        </w:r>
        <w:r>
          <w:fldChar w:fldCharType="end"/>
        </w:r>
      </w:hyperlink>
    </w:p>
    <w:p>
      <w:pPr>
        <w:pStyle w:val="TOC2"/>
        <w:tabs>
          <w:tab w:val="left" w:pos="880"/>
          <w:tab w:val="right" w:leader="dot" w:pos="10456"/>
        </w:tabs>
        <w:rPr>
          <w:rFonts w:asciiTheme="minorHAnsi" w:hAnsiTheme="minorHAnsi"/>
          <w:noProof/>
          <w:sz w:val="22"/>
        </w:rPr>
      </w:pPr>
      <w:hyperlink w:anchor="_Toc256000003" w:history="1">
        <w:r>
          <w:rPr>
            <w:rStyle w:val="Hyperlink"/>
          </w:rPr>
          <w:t>1.3</w:t>
        </w:r>
        <w:r>
          <w:rPr>
            <w:rFonts w:asciiTheme="minorHAnsi" w:hAnsiTheme="minorHAnsi"/>
            <w:noProof/>
            <w:sz w:val="22"/>
          </w:rPr>
          <w:tab/>
        </w:r>
        <w:r w:rsidRPr="008D745C">
          <w:rPr>
            <w:rStyle w:val="Hyperlink"/>
          </w:rPr>
          <w:t>Nettselskapets leveringsplikt</w:t>
        </w:r>
        <w:r>
          <w:tab/>
        </w:r>
        <w:r>
          <w:fldChar w:fldCharType="begin"/>
        </w:r>
        <w:r>
          <w:instrText xml:space="preserve"> PAGEREF _Toc256000003 \h </w:instrText>
        </w:r>
        <w:r>
          <w:fldChar w:fldCharType="separate"/>
        </w:r>
        <w:r>
          <w:t>2</w:t>
        </w:r>
        <w:r>
          <w:fldChar w:fldCharType="end"/>
        </w:r>
      </w:hyperlink>
    </w:p>
    <w:p>
      <w:pPr>
        <w:pStyle w:val="TOC2"/>
        <w:tabs>
          <w:tab w:val="left" w:pos="880"/>
          <w:tab w:val="right" w:leader="dot" w:pos="10456"/>
        </w:tabs>
        <w:rPr>
          <w:rFonts w:asciiTheme="minorHAnsi" w:hAnsiTheme="minorHAnsi"/>
          <w:noProof/>
          <w:sz w:val="22"/>
        </w:rPr>
      </w:pPr>
      <w:hyperlink w:anchor="_Toc256000004" w:history="1">
        <w:r>
          <w:rPr>
            <w:rStyle w:val="Hyperlink"/>
          </w:rPr>
          <w:t>1.4</w:t>
        </w:r>
        <w:r>
          <w:rPr>
            <w:rFonts w:asciiTheme="minorHAnsi" w:hAnsiTheme="minorHAnsi"/>
            <w:noProof/>
            <w:sz w:val="22"/>
          </w:rPr>
          <w:tab/>
        </w:r>
        <w:r w:rsidRPr="008D745C">
          <w:rPr>
            <w:rStyle w:val="Hyperlink"/>
          </w:rPr>
          <w:t>Klagemuligheter ved uenighet om anleggsbidrag</w:t>
        </w:r>
        <w:r>
          <w:tab/>
        </w:r>
        <w:r>
          <w:fldChar w:fldCharType="begin"/>
        </w:r>
        <w:r>
          <w:instrText xml:space="preserve"> PAGEREF _Toc256000004 \h </w:instrText>
        </w:r>
        <w:r>
          <w:fldChar w:fldCharType="separate"/>
        </w:r>
        <w:r>
          <w:t>2</w:t>
        </w:r>
        <w:r>
          <w:fldChar w:fldCharType="end"/>
        </w:r>
      </w:hyperlink>
    </w:p>
    <w:p>
      <w:pPr>
        <w:pStyle w:val="TOC1"/>
        <w:tabs>
          <w:tab w:val="left" w:pos="440"/>
          <w:tab w:val="right" w:leader="dot" w:pos="10456"/>
        </w:tabs>
        <w:rPr>
          <w:rFonts w:asciiTheme="minorHAnsi" w:hAnsiTheme="minorHAnsi"/>
          <w:noProof/>
          <w:sz w:val="22"/>
        </w:rPr>
      </w:pPr>
      <w:hyperlink w:anchor="_Toc256000005" w:history="1">
        <w:r>
          <w:rPr>
            <w:rStyle w:val="Hyperlink"/>
          </w:rPr>
          <w:t>2</w:t>
        </w:r>
        <w:r>
          <w:rPr>
            <w:rFonts w:asciiTheme="minorHAnsi" w:hAnsiTheme="minorHAnsi"/>
            <w:noProof/>
            <w:sz w:val="22"/>
          </w:rPr>
          <w:tab/>
        </w:r>
        <w:r w:rsidRPr="00557437">
          <w:rPr>
            <w:rStyle w:val="Hyperlink"/>
          </w:rPr>
          <w:t>Kundeprosessen</w:t>
        </w:r>
        <w:r>
          <w:tab/>
        </w:r>
        <w:r>
          <w:fldChar w:fldCharType="begin"/>
        </w:r>
        <w:r>
          <w:instrText xml:space="preserve"> PAGEREF _Toc256000005 \h </w:instrText>
        </w:r>
        <w:r>
          <w:fldChar w:fldCharType="separate"/>
        </w:r>
        <w:r>
          <w:t>3</w:t>
        </w:r>
        <w:r>
          <w:fldChar w:fldCharType="end"/>
        </w:r>
      </w:hyperlink>
    </w:p>
    <w:p>
      <w:pPr>
        <w:pStyle w:val="TOC2"/>
        <w:tabs>
          <w:tab w:val="left" w:pos="880"/>
          <w:tab w:val="right" w:leader="dot" w:pos="10456"/>
        </w:tabs>
        <w:rPr>
          <w:rFonts w:asciiTheme="minorHAnsi" w:hAnsiTheme="minorHAnsi"/>
          <w:noProof/>
          <w:sz w:val="22"/>
        </w:rPr>
      </w:pPr>
      <w:hyperlink w:anchor="_Toc256000006" w:history="1">
        <w:r>
          <w:rPr>
            <w:rStyle w:val="Hyperlink"/>
          </w:rPr>
          <w:t>2.1</w:t>
        </w:r>
        <w:r>
          <w:rPr>
            <w:rFonts w:asciiTheme="minorHAnsi" w:hAnsiTheme="minorHAnsi"/>
            <w:noProof/>
            <w:sz w:val="22"/>
          </w:rPr>
          <w:tab/>
        </w:r>
        <w:r w:rsidRPr="009A62CE">
          <w:rPr>
            <w:rStyle w:val="Hyperlink"/>
          </w:rPr>
          <w:t xml:space="preserve">Forespørsel fra kunde </w:t>
        </w:r>
        <w:r>
          <w:rPr>
            <w:rStyle w:val="Hyperlink"/>
          </w:rPr>
          <w:t>(</w:t>
        </w:r>
        <w:r w:rsidR="00360369">
          <w:rPr>
            <w:rStyle w:val="Hyperlink"/>
          </w:rPr>
          <w:t>kundehenvendelse</w:t>
        </w:r>
        <w:r>
          <w:rPr>
            <w:rStyle w:val="Hyperlink"/>
          </w:rPr>
          <w:t>)</w:t>
        </w:r>
        <w:r>
          <w:tab/>
        </w:r>
        <w:r>
          <w:fldChar w:fldCharType="begin"/>
        </w:r>
        <w:r>
          <w:instrText xml:space="preserve"> PAGEREF _Toc256000006 \h </w:instrText>
        </w:r>
        <w:r>
          <w:fldChar w:fldCharType="separate"/>
        </w:r>
        <w:r>
          <w:t>3</w:t>
        </w:r>
        <w:r>
          <w:fldChar w:fldCharType="end"/>
        </w:r>
      </w:hyperlink>
    </w:p>
    <w:p>
      <w:pPr>
        <w:pStyle w:val="TOC2"/>
        <w:tabs>
          <w:tab w:val="left" w:pos="880"/>
          <w:tab w:val="right" w:leader="dot" w:pos="10456"/>
        </w:tabs>
        <w:rPr>
          <w:rFonts w:asciiTheme="minorHAnsi" w:hAnsiTheme="minorHAnsi"/>
          <w:noProof/>
          <w:sz w:val="22"/>
        </w:rPr>
      </w:pPr>
      <w:hyperlink w:anchor="_Toc256000007" w:history="1">
        <w:r>
          <w:rPr>
            <w:rStyle w:val="Hyperlink"/>
          </w:rPr>
          <w:t>2.2</w:t>
        </w:r>
        <w:r>
          <w:rPr>
            <w:rFonts w:asciiTheme="minorHAnsi" w:hAnsiTheme="minorHAnsi"/>
            <w:noProof/>
            <w:sz w:val="22"/>
          </w:rPr>
          <w:tab/>
        </w:r>
        <w:r>
          <w:rPr>
            <w:rStyle w:val="Hyperlink"/>
          </w:rPr>
          <w:t>Informasjon til kunden om anleggsbidrag</w:t>
        </w:r>
        <w:r>
          <w:tab/>
        </w:r>
        <w:r>
          <w:fldChar w:fldCharType="begin"/>
        </w:r>
        <w:r>
          <w:instrText xml:space="preserve"> PAGEREF _Toc256000007 \h </w:instrText>
        </w:r>
        <w:r>
          <w:fldChar w:fldCharType="separate"/>
        </w:r>
        <w:r>
          <w:t>3</w:t>
        </w:r>
        <w:r>
          <w:fldChar w:fldCharType="end"/>
        </w:r>
      </w:hyperlink>
    </w:p>
    <w:p>
      <w:pPr>
        <w:pStyle w:val="TOC2"/>
        <w:tabs>
          <w:tab w:val="left" w:pos="880"/>
          <w:tab w:val="right" w:leader="dot" w:pos="10456"/>
        </w:tabs>
        <w:rPr>
          <w:rFonts w:asciiTheme="minorHAnsi" w:hAnsiTheme="minorHAnsi"/>
          <w:noProof/>
          <w:sz w:val="22"/>
        </w:rPr>
      </w:pPr>
      <w:hyperlink w:anchor="_Toc256000008" w:history="1">
        <w:r>
          <w:rPr>
            <w:rStyle w:val="Hyperlink"/>
          </w:rPr>
          <w:t>2.3</w:t>
        </w:r>
        <w:r>
          <w:rPr>
            <w:rFonts w:asciiTheme="minorHAnsi" w:hAnsiTheme="minorHAnsi"/>
            <w:noProof/>
            <w:sz w:val="22"/>
          </w:rPr>
          <w:tab/>
        </w:r>
        <w:r>
          <w:rPr>
            <w:rStyle w:val="Hyperlink"/>
          </w:rPr>
          <w:t>Informasjon om anleggsbidraget i regional- og transmisjonsnett</w:t>
        </w:r>
        <w:r>
          <w:rPr>
            <w:rStyle w:val="Hyperlink"/>
          </w:rPr>
          <w:t>et (tilknytning med samlet kapasitet over 1 MW)</w:t>
        </w:r>
        <w:r>
          <w:tab/>
        </w:r>
        <w:r>
          <w:fldChar w:fldCharType="begin"/>
        </w:r>
        <w:r>
          <w:instrText xml:space="preserve"> PAGEREF _Toc256000008 \h </w:instrText>
        </w:r>
        <w:r>
          <w:fldChar w:fldCharType="separate"/>
        </w:r>
        <w:r>
          <w:t>4</w:t>
        </w:r>
        <w:r>
          <w:fldChar w:fldCharType="end"/>
        </w:r>
      </w:hyperlink>
    </w:p>
    <w:p>
      <w:pPr>
        <w:pStyle w:val="TOC2"/>
        <w:tabs>
          <w:tab w:val="left" w:pos="880"/>
          <w:tab w:val="right" w:leader="dot" w:pos="10456"/>
        </w:tabs>
        <w:rPr>
          <w:rFonts w:asciiTheme="minorHAnsi" w:hAnsiTheme="minorHAnsi"/>
          <w:noProof/>
          <w:sz w:val="22"/>
        </w:rPr>
      </w:pPr>
      <w:hyperlink w:anchor="_Toc256000009" w:history="1">
        <w:r>
          <w:rPr>
            <w:rStyle w:val="Hyperlink"/>
          </w:rPr>
          <w:t>2.4</w:t>
        </w:r>
        <w:r>
          <w:rPr>
            <w:rFonts w:asciiTheme="minorHAnsi" w:hAnsiTheme="minorHAnsi"/>
            <w:noProof/>
            <w:sz w:val="22"/>
          </w:rPr>
          <w:tab/>
        </w:r>
        <w:r w:rsidRPr="004B56A4">
          <w:rPr>
            <w:rStyle w:val="Hyperlink"/>
          </w:rPr>
          <w:t xml:space="preserve">Informasjon om betaling for nettutredninger i </w:t>
        </w:r>
        <w:r>
          <w:rPr>
            <w:rStyle w:val="Hyperlink"/>
          </w:rPr>
          <w:t>regional- og transmisjonsnettet</w:t>
        </w:r>
        <w:r>
          <w:tab/>
        </w:r>
        <w:r>
          <w:fldChar w:fldCharType="begin"/>
        </w:r>
        <w:r>
          <w:instrText xml:space="preserve"> PAGEREF _Toc256000009 \h </w:instrText>
        </w:r>
        <w:r>
          <w:fldChar w:fldCharType="separate"/>
        </w:r>
        <w:r>
          <w:t>4</w:t>
        </w:r>
        <w:r>
          <w:fldChar w:fldCharType="end"/>
        </w:r>
      </w:hyperlink>
    </w:p>
    <w:p>
      <w:pPr>
        <w:pStyle w:val="TOC2"/>
        <w:tabs>
          <w:tab w:val="left" w:pos="880"/>
          <w:tab w:val="right" w:leader="dot" w:pos="10456"/>
        </w:tabs>
        <w:rPr>
          <w:rFonts w:asciiTheme="minorHAnsi" w:hAnsiTheme="minorHAnsi"/>
          <w:noProof/>
          <w:sz w:val="22"/>
        </w:rPr>
      </w:pPr>
      <w:hyperlink w:anchor="_Toc256000010" w:history="1">
        <w:r>
          <w:rPr>
            <w:rStyle w:val="Hyperlink"/>
          </w:rPr>
          <w:t>2.5</w:t>
        </w:r>
        <w:r>
          <w:rPr>
            <w:rFonts w:asciiTheme="minorHAnsi" w:hAnsiTheme="minorHAnsi"/>
            <w:noProof/>
            <w:sz w:val="22"/>
          </w:rPr>
          <w:tab/>
        </w:r>
        <w:r>
          <w:rPr>
            <w:rStyle w:val="Hyperlink"/>
          </w:rPr>
          <w:t xml:space="preserve">Tilbud til kunde med estimert anleggsbidrag </w:t>
        </w:r>
        <w:r w:rsidR="00900864">
          <w:rPr>
            <w:rStyle w:val="Hyperlink"/>
          </w:rPr>
          <w:t>(</w:t>
        </w:r>
        <w:r w:rsidR="00900864">
          <w:rPr>
            <w:rStyle w:val="Hyperlink"/>
          </w:rPr>
          <w:t>Avtale om Nettutbygging)</w:t>
        </w:r>
        <w:r>
          <w:tab/>
        </w:r>
        <w:r>
          <w:fldChar w:fldCharType="begin"/>
        </w:r>
        <w:r>
          <w:instrText xml:space="preserve"> PAGEREF _Toc256000010 \h </w:instrText>
        </w:r>
        <w:r>
          <w:fldChar w:fldCharType="separate"/>
        </w:r>
        <w:r>
          <w:t>4</w:t>
        </w:r>
        <w:r>
          <w:fldChar w:fldCharType="end"/>
        </w:r>
      </w:hyperlink>
    </w:p>
    <w:p>
      <w:pPr>
        <w:pStyle w:val="TOC2"/>
        <w:tabs>
          <w:tab w:val="left" w:pos="880"/>
          <w:tab w:val="right" w:leader="dot" w:pos="10456"/>
        </w:tabs>
        <w:rPr>
          <w:rFonts w:asciiTheme="minorHAnsi" w:hAnsiTheme="minorHAnsi"/>
          <w:noProof/>
          <w:sz w:val="22"/>
        </w:rPr>
      </w:pPr>
      <w:hyperlink w:anchor="_Toc256000011" w:history="1">
        <w:r>
          <w:rPr>
            <w:rStyle w:val="Hyperlink"/>
          </w:rPr>
          <w:t>2.6</w:t>
        </w:r>
        <w:r>
          <w:rPr>
            <w:rFonts w:asciiTheme="minorHAnsi" w:hAnsiTheme="minorHAnsi"/>
            <w:noProof/>
            <w:sz w:val="22"/>
          </w:rPr>
          <w:tab/>
        </w:r>
        <w:r w:rsidRPr="008D745C">
          <w:rPr>
            <w:rStyle w:val="Hyperlink"/>
          </w:rPr>
          <w:t>Kundens aksept</w:t>
        </w:r>
        <w:r>
          <w:tab/>
        </w:r>
        <w:r>
          <w:fldChar w:fldCharType="begin"/>
        </w:r>
        <w:r>
          <w:instrText xml:space="preserve"> PAGEREF _Toc256000011 \h </w:instrText>
        </w:r>
        <w:r>
          <w:fldChar w:fldCharType="separate"/>
        </w:r>
        <w:r>
          <w:t>5</w:t>
        </w:r>
        <w:r>
          <w:fldChar w:fldCharType="end"/>
        </w:r>
      </w:hyperlink>
    </w:p>
    <w:p>
      <w:pPr>
        <w:pStyle w:val="TOC2"/>
        <w:tabs>
          <w:tab w:val="left" w:pos="880"/>
          <w:tab w:val="right" w:leader="dot" w:pos="10456"/>
        </w:tabs>
        <w:rPr>
          <w:rFonts w:asciiTheme="minorHAnsi" w:hAnsiTheme="minorHAnsi"/>
          <w:noProof/>
          <w:sz w:val="22"/>
        </w:rPr>
      </w:pPr>
      <w:hyperlink w:anchor="_Toc256000012" w:history="1">
        <w:r>
          <w:rPr>
            <w:rStyle w:val="Hyperlink"/>
          </w:rPr>
          <w:t>2.7</w:t>
        </w:r>
        <w:r>
          <w:rPr>
            <w:rFonts w:asciiTheme="minorHAnsi" w:hAnsiTheme="minorHAnsi"/>
            <w:noProof/>
            <w:sz w:val="22"/>
          </w:rPr>
          <w:tab/>
        </w:r>
        <w:r>
          <w:rPr>
            <w:rStyle w:val="Hyperlink"/>
          </w:rPr>
          <w:t>Fakturering</w:t>
        </w:r>
        <w:r>
          <w:tab/>
        </w:r>
        <w:r>
          <w:fldChar w:fldCharType="begin"/>
        </w:r>
        <w:r>
          <w:instrText xml:space="preserve"> PAGEREF _Toc256000012 \h </w:instrText>
        </w:r>
        <w:r>
          <w:fldChar w:fldCharType="separate"/>
        </w:r>
        <w:r>
          <w:t>5</w:t>
        </w:r>
        <w:r>
          <w:fldChar w:fldCharType="end"/>
        </w:r>
      </w:hyperlink>
    </w:p>
    <w:p>
      <w:pPr>
        <w:pStyle w:val="TOC2"/>
        <w:tabs>
          <w:tab w:val="left" w:pos="880"/>
          <w:tab w:val="right" w:leader="dot" w:pos="10456"/>
        </w:tabs>
        <w:rPr>
          <w:rFonts w:asciiTheme="minorHAnsi" w:hAnsiTheme="minorHAnsi"/>
          <w:noProof/>
          <w:sz w:val="22"/>
        </w:rPr>
      </w:pPr>
      <w:hyperlink w:anchor="_Toc256000013" w:history="1">
        <w:r>
          <w:rPr>
            <w:rStyle w:val="Hyperlink"/>
          </w:rPr>
          <w:t>2.8</w:t>
        </w:r>
        <w:r>
          <w:rPr>
            <w:rFonts w:asciiTheme="minorHAnsi" w:hAnsiTheme="minorHAnsi"/>
            <w:noProof/>
            <w:sz w:val="22"/>
          </w:rPr>
          <w:tab/>
        </w:r>
        <w:r w:rsidRPr="008D745C">
          <w:rPr>
            <w:rStyle w:val="Hyperlink"/>
          </w:rPr>
          <w:t>Oppstart/gjennomføring av nettinvesteringer</w:t>
        </w:r>
        <w:r>
          <w:tab/>
        </w:r>
        <w:r>
          <w:fldChar w:fldCharType="begin"/>
        </w:r>
        <w:r>
          <w:instrText xml:space="preserve"> PAGEREF _Toc256000013 \h </w:instrText>
        </w:r>
        <w:r>
          <w:fldChar w:fldCharType="separate"/>
        </w:r>
        <w:r>
          <w:t>5</w:t>
        </w:r>
        <w:r>
          <w:fldChar w:fldCharType="end"/>
        </w:r>
      </w:hyperlink>
    </w:p>
    <w:p>
      <w:pPr>
        <w:pStyle w:val="TOC2"/>
        <w:tabs>
          <w:tab w:val="left" w:pos="880"/>
          <w:tab w:val="right" w:leader="dot" w:pos="10456"/>
        </w:tabs>
        <w:rPr>
          <w:rFonts w:asciiTheme="minorHAnsi" w:hAnsiTheme="minorHAnsi"/>
          <w:noProof/>
          <w:sz w:val="22"/>
        </w:rPr>
      </w:pPr>
      <w:hyperlink w:anchor="_Toc256000014" w:history="1">
        <w:r>
          <w:rPr>
            <w:rStyle w:val="Hyperlink"/>
          </w:rPr>
          <w:t>2.9</w:t>
        </w:r>
        <w:r>
          <w:rPr>
            <w:rFonts w:asciiTheme="minorHAnsi" w:hAnsiTheme="minorHAnsi"/>
            <w:noProof/>
            <w:sz w:val="22"/>
          </w:rPr>
          <w:tab/>
        </w:r>
        <w:r w:rsidRPr="008D745C">
          <w:rPr>
            <w:rStyle w:val="Hyperlink"/>
          </w:rPr>
          <w:t>Endringsvarsling</w:t>
        </w:r>
        <w:r>
          <w:tab/>
        </w:r>
        <w:r>
          <w:fldChar w:fldCharType="begin"/>
        </w:r>
        <w:r>
          <w:instrText xml:space="preserve"> PAGEREF _Toc256000014 \h </w:instrText>
        </w:r>
        <w:r>
          <w:fldChar w:fldCharType="separate"/>
        </w:r>
        <w:r>
          <w:t>5</w:t>
        </w:r>
        <w:r>
          <w:fldChar w:fldCharType="end"/>
        </w:r>
      </w:hyperlink>
    </w:p>
    <w:p>
      <w:pPr>
        <w:pStyle w:val="TOC2"/>
        <w:tabs>
          <w:tab w:val="left" w:pos="880"/>
          <w:tab w:val="right" w:leader="dot" w:pos="10456"/>
        </w:tabs>
        <w:rPr>
          <w:rFonts w:asciiTheme="minorHAnsi" w:hAnsiTheme="minorHAnsi"/>
          <w:noProof/>
          <w:sz w:val="22"/>
        </w:rPr>
      </w:pPr>
      <w:hyperlink w:anchor="_Toc256000015" w:history="1">
        <w:r>
          <w:rPr>
            <w:rStyle w:val="Hyperlink"/>
          </w:rPr>
          <w:t>2.10</w:t>
        </w:r>
        <w:r>
          <w:rPr>
            <w:rFonts w:asciiTheme="minorHAnsi" w:hAnsiTheme="minorHAnsi"/>
            <w:noProof/>
            <w:sz w:val="22"/>
          </w:rPr>
          <w:tab/>
        </w:r>
        <w:r w:rsidRPr="008D745C">
          <w:rPr>
            <w:rStyle w:val="Hyperlink"/>
          </w:rPr>
          <w:t>Sluttoppgjør</w:t>
        </w:r>
        <w:r>
          <w:tab/>
        </w:r>
        <w:r>
          <w:fldChar w:fldCharType="begin"/>
        </w:r>
        <w:r>
          <w:instrText xml:space="preserve"> PAGEREF _Toc256000015 \h </w:instrText>
        </w:r>
        <w:r>
          <w:fldChar w:fldCharType="separate"/>
        </w:r>
        <w:r>
          <w:t>5</w:t>
        </w:r>
        <w:r>
          <w:fldChar w:fldCharType="end"/>
        </w:r>
      </w:hyperlink>
    </w:p>
    <w:p>
      <w:pPr>
        <w:pStyle w:val="TOC2"/>
        <w:tabs>
          <w:tab w:val="left" w:pos="880"/>
          <w:tab w:val="right" w:leader="dot" w:pos="10456"/>
        </w:tabs>
        <w:rPr>
          <w:rFonts w:asciiTheme="minorHAnsi" w:hAnsiTheme="minorHAnsi"/>
          <w:noProof/>
          <w:sz w:val="22"/>
        </w:rPr>
      </w:pPr>
      <w:hyperlink w:anchor="_Toc256000016" w:history="1">
        <w:r>
          <w:rPr>
            <w:rStyle w:val="Hyperlink"/>
          </w:rPr>
          <w:t>2.11</w:t>
        </w:r>
        <w:r>
          <w:rPr>
            <w:rFonts w:asciiTheme="minorHAnsi" w:hAnsiTheme="minorHAnsi"/>
            <w:noProof/>
            <w:sz w:val="22"/>
          </w:rPr>
          <w:tab/>
        </w:r>
        <w:r w:rsidRPr="008D745C">
          <w:rPr>
            <w:rStyle w:val="Hyperlink"/>
          </w:rPr>
          <w:t>Dokumentasjon</w:t>
        </w:r>
        <w:r>
          <w:tab/>
        </w:r>
        <w:r>
          <w:fldChar w:fldCharType="begin"/>
        </w:r>
        <w:r>
          <w:instrText xml:space="preserve"> PAGEREF _Toc256000016 \h </w:instrText>
        </w:r>
        <w:r>
          <w:fldChar w:fldCharType="separate"/>
        </w:r>
        <w:r>
          <w:t>5</w:t>
        </w:r>
        <w:r>
          <w:fldChar w:fldCharType="end"/>
        </w:r>
      </w:hyperlink>
    </w:p>
    <w:p>
      <w:pPr>
        <w:pStyle w:val="TOC1"/>
        <w:tabs>
          <w:tab w:val="left" w:pos="440"/>
          <w:tab w:val="right" w:leader="dot" w:pos="10456"/>
        </w:tabs>
        <w:rPr>
          <w:rFonts w:asciiTheme="minorHAnsi" w:hAnsiTheme="minorHAnsi"/>
          <w:noProof/>
          <w:sz w:val="22"/>
        </w:rPr>
      </w:pPr>
      <w:hyperlink w:anchor="_Toc256000017" w:history="1">
        <w:r>
          <w:rPr>
            <w:rStyle w:val="Hyperlink"/>
          </w:rPr>
          <w:t>3</w:t>
        </w:r>
        <w:r>
          <w:rPr>
            <w:rFonts w:asciiTheme="minorHAnsi" w:hAnsiTheme="minorHAnsi"/>
            <w:noProof/>
            <w:sz w:val="22"/>
          </w:rPr>
          <w:tab/>
        </w:r>
        <w:r>
          <w:rPr>
            <w:rStyle w:val="Hyperlink"/>
          </w:rPr>
          <w:t>Anvendelse av a</w:t>
        </w:r>
        <w:r w:rsidRPr="009232F3">
          <w:rPr>
            <w:rStyle w:val="Hyperlink"/>
          </w:rPr>
          <w:t>nleggsbidrag</w:t>
        </w:r>
        <w:r>
          <w:tab/>
        </w:r>
        <w:r>
          <w:fldChar w:fldCharType="begin"/>
        </w:r>
        <w:r>
          <w:instrText xml:space="preserve"> PAGEREF _Toc256000017 \h </w:instrText>
        </w:r>
        <w:r>
          <w:fldChar w:fldCharType="separate"/>
        </w:r>
        <w:r>
          <w:t>6</w:t>
        </w:r>
        <w:r>
          <w:fldChar w:fldCharType="end"/>
        </w:r>
      </w:hyperlink>
    </w:p>
    <w:p>
      <w:pPr>
        <w:pStyle w:val="TOC2"/>
        <w:tabs>
          <w:tab w:val="left" w:pos="880"/>
          <w:tab w:val="right" w:leader="dot" w:pos="10456"/>
        </w:tabs>
        <w:rPr>
          <w:rFonts w:asciiTheme="minorHAnsi" w:hAnsiTheme="minorHAnsi"/>
          <w:noProof/>
          <w:sz w:val="22"/>
        </w:rPr>
      </w:pPr>
      <w:hyperlink w:anchor="_Toc256000018" w:history="1">
        <w:r>
          <w:rPr>
            <w:rStyle w:val="Hyperlink"/>
          </w:rPr>
          <w:t>3.1</w:t>
        </w:r>
        <w:r>
          <w:rPr>
            <w:rFonts w:asciiTheme="minorHAnsi" w:hAnsiTheme="minorHAnsi"/>
            <w:noProof/>
            <w:sz w:val="22"/>
          </w:rPr>
          <w:tab/>
        </w:r>
        <w:r w:rsidRPr="008D745C">
          <w:rPr>
            <w:rStyle w:val="Hyperlink"/>
          </w:rPr>
          <w:t>Anleggsbidrag og nettnivå</w:t>
        </w:r>
        <w:r>
          <w:tab/>
        </w:r>
        <w:r>
          <w:fldChar w:fldCharType="begin"/>
        </w:r>
        <w:r>
          <w:instrText xml:space="preserve"> PAGEREF _Toc256000018 \h </w:instrText>
        </w:r>
        <w:r>
          <w:fldChar w:fldCharType="separate"/>
        </w:r>
        <w:r>
          <w:t>6</w:t>
        </w:r>
        <w:r>
          <w:fldChar w:fldCharType="end"/>
        </w:r>
      </w:hyperlink>
    </w:p>
    <w:p>
      <w:pPr>
        <w:pStyle w:val="TOC2"/>
        <w:tabs>
          <w:tab w:val="left" w:pos="880"/>
          <w:tab w:val="right" w:leader="dot" w:pos="10456"/>
        </w:tabs>
        <w:rPr>
          <w:rFonts w:asciiTheme="minorHAnsi" w:hAnsiTheme="minorHAnsi"/>
          <w:noProof/>
          <w:sz w:val="22"/>
        </w:rPr>
      </w:pPr>
      <w:hyperlink w:anchor="_Toc256000019" w:history="1">
        <w:r>
          <w:rPr>
            <w:rStyle w:val="Hyperlink"/>
          </w:rPr>
          <w:t>3.2</w:t>
        </w:r>
        <w:r>
          <w:rPr>
            <w:rFonts w:asciiTheme="minorHAnsi" w:hAnsiTheme="minorHAnsi"/>
            <w:noProof/>
            <w:sz w:val="22"/>
          </w:rPr>
          <w:tab/>
        </w:r>
        <w:r w:rsidRPr="008D745C">
          <w:rPr>
            <w:rStyle w:val="Hyperlink"/>
          </w:rPr>
          <w:t xml:space="preserve">Anleggsbidrag i </w:t>
        </w:r>
        <w:r>
          <w:rPr>
            <w:rStyle w:val="Hyperlink"/>
          </w:rPr>
          <w:t>regional- og transmisjonsnett</w:t>
        </w:r>
        <w:r w:rsidRPr="008D745C">
          <w:rPr>
            <w:rStyle w:val="Hyperlink"/>
          </w:rPr>
          <w:t>: Kontrollforskriftens (§16</w:t>
        </w:r>
        <w:r>
          <w:rPr>
            <w:rStyle w:val="Hyperlink"/>
          </w:rPr>
          <w:t>.</w:t>
        </w:r>
        <w:r w:rsidRPr="008D745C">
          <w:rPr>
            <w:rStyle w:val="Hyperlink"/>
          </w:rPr>
          <w:t>10)</w:t>
        </w:r>
        <w:r>
          <w:tab/>
        </w:r>
        <w:r>
          <w:fldChar w:fldCharType="begin"/>
        </w:r>
        <w:r>
          <w:instrText xml:space="preserve"> PAGEREF _Toc256000019 \h </w:instrText>
        </w:r>
        <w:r>
          <w:fldChar w:fldCharType="separate"/>
        </w:r>
        <w:r>
          <w:t>7</w:t>
        </w:r>
        <w:r>
          <w:fldChar w:fldCharType="end"/>
        </w:r>
      </w:hyperlink>
    </w:p>
    <w:p>
      <w:pPr>
        <w:pStyle w:val="TOC1"/>
        <w:tabs>
          <w:tab w:val="left" w:pos="440"/>
          <w:tab w:val="right" w:leader="dot" w:pos="10456"/>
        </w:tabs>
        <w:rPr>
          <w:rFonts w:asciiTheme="minorHAnsi" w:hAnsiTheme="minorHAnsi"/>
          <w:noProof/>
          <w:sz w:val="22"/>
        </w:rPr>
      </w:pPr>
      <w:hyperlink w:anchor="_Toc256000020" w:history="1">
        <w:r>
          <w:rPr>
            <w:rStyle w:val="Hyperlink"/>
          </w:rPr>
          <w:t>4</w:t>
        </w:r>
        <w:r>
          <w:rPr>
            <w:rFonts w:asciiTheme="minorHAnsi" w:hAnsiTheme="minorHAnsi"/>
            <w:noProof/>
            <w:sz w:val="22"/>
          </w:rPr>
          <w:tab/>
        </w:r>
        <w:r w:rsidRPr="008D745C">
          <w:rPr>
            <w:rStyle w:val="Hyperlink"/>
          </w:rPr>
          <w:t>Beregning av anleggsbidrag</w:t>
        </w:r>
        <w:r>
          <w:tab/>
        </w:r>
        <w:r>
          <w:fldChar w:fldCharType="begin"/>
        </w:r>
        <w:r>
          <w:instrText xml:space="preserve"> PAGEREF _Toc256000020 \h </w:instrText>
        </w:r>
        <w:r>
          <w:fldChar w:fldCharType="separate"/>
        </w:r>
        <w:r>
          <w:t>7</w:t>
        </w:r>
        <w:r>
          <w:fldChar w:fldCharType="end"/>
        </w:r>
      </w:hyperlink>
    </w:p>
    <w:p>
      <w:pPr>
        <w:pStyle w:val="TOC2"/>
        <w:tabs>
          <w:tab w:val="left" w:pos="880"/>
          <w:tab w:val="right" w:leader="dot" w:pos="10456"/>
        </w:tabs>
        <w:rPr>
          <w:rFonts w:asciiTheme="minorHAnsi" w:hAnsiTheme="minorHAnsi"/>
          <w:noProof/>
          <w:sz w:val="22"/>
        </w:rPr>
      </w:pPr>
      <w:hyperlink w:anchor="_Toc256000021" w:history="1">
        <w:r>
          <w:rPr>
            <w:rStyle w:val="Hyperlink"/>
          </w:rPr>
          <w:t>4.1</w:t>
        </w:r>
        <w:r>
          <w:rPr>
            <w:rFonts w:asciiTheme="minorHAnsi" w:hAnsiTheme="minorHAnsi"/>
            <w:noProof/>
            <w:sz w:val="22"/>
          </w:rPr>
          <w:tab/>
        </w:r>
        <w:r w:rsidRPr="008D745C">
          <w:rPr>
            <w:rStyle w:val="Hyperlink"/>
          </w:rPr>
          <w:t xml:space="preserve">Dimensjonering av teknisk nettanlegg </w:t>
        </w:r>
        <w:r>
          <w:rPr>
            <w:rStyle w:val="Hyperlink"/>
          </w:rPr>
          <w:t>i distribusjonsnettet</w:t>
        </w:r>
        <w:r>
          <w:tab/>
        </w:r>
        <w:r>
          <w:fldChar w:fldCharType="begin"/>
        </w:r>
        <w:r>
          <w:instrText xml:space="preserve"> PAGEREF _Toc256000021 \h </w:instrText>
        </w:r>
        <w:r>
          <w:fldChar w:fldCharType="separate"/>
        </w:r>
        <w:r>
          <w:t>7</w:t>
        </w:r>
        <w:r>
          <w:fldChar w:fldCharType="end"/>
        </w:r>
      </w:hyperlink>
    </w:p>
    <w:p>
      <w:pPr>
        <w:pStyle w:val="TOC2"/>
        <w:tabs>
          <w:tab w:val="left" w:pos="880"/>
          <w:tab w:val="right" w:leader="dot" w:pos="10456"/>
        </w:tabs>
        <w:rPr>
          <w:rFonts w:asciiTheme="minorHAnsi" w:hAnsiTheme="minorHAnsi"/>
          <w:noProof/>
          <w:sz w:val="22"/>
        </w:rPr>
      </w:pPr>
      <w:hyperlink w:anchor="_Toc256000022" w:history="1">
        <w:r>
          <w:rPr>
            <w:rStyle w:val="Hyperlink"/>
          </w:rPr>
          <w:t>4.2</w:t>
        </w:r>
        <w:r>
          <w:rPr>
            <w:rFonts w:asciiTheme="minorHAnsi" w:hAnsiTheme="minorHAnsi"/>
            <w:noProof/>
            <w:sz w:val="22"/>
          </w:rPr>
          <w:tab/>
        </w:r>
        <w:r w:rsidRPr="008D745C">
          <w:rPr>
            <w:rStyle w:val="Hyperlink"/>
          </w:rPr>
          <w:t>Kostnadsgrunnlaget (KG)</w:t>
        </w:r>
        <w:r>
          <w:tab/>
        </w:r>
        <w:r>
          <w:fldChar w:fldCharType="begin"/>
        </w:r>
        <w:r>
          <w:instrText xml:space="preserve"> PAGEREF _Toc256000022 \h </w:instrText>
        </w:r>
        <w:r>
          <w:fldChar w:fldCharType="separate"/>
        </w:r>
        <w:r>
          <w:t>7</w:t>
        </w:r>
        <w:r>
          <w:fldChar w:fldCharType="end"/>
        </w:r>
      </w:hyperlink>
    </w:p>
    <w:p>
      <w:pPr>
        <w:pStyle w:val="TOC2"/>
        <w:tabs>
          <w:tab w:val="left" w:pos="880"/>
          <w:tab w:val="right" w:leader="dot" w:pos="10456"/>
        </w:tabs>
        <w:rPr>
          <w:rFonts w:asciiTheme="minorHAnsi" w:hAnsiTheme="minorHAnsi"/>
          <w:noProof/>
          <w:sz w:val="22"/>
        </w:rPr>
      </w:pPr>
      <w:hyperlink w:anchor="_Toc256000023" w:history="1">
        <w:r>
          <w:rPr>
            <w:rStyle w:val="Hyperlink"/>
          </w:rPr>
          <w:t>4.3</w:t>
        </w:r>
        <w:r>
          <w:rPr>
            <w:rFonts w:asciiTheme="minorHAnsi" w:hAnsiTheme="minorHAnsi"/>
            <w:noProof/>
            <w:sz w:val="22"/>
          </w:rPr>
          <w:tab/>
        </w:r>
        <w:r w:rsidRPr="008D745C">
          <w:rPr>
            <w:rStyle w:val="Hyperlink"/>
          </w:rPr>
          <w:t>Anleggskostnad (AK):</w:t>
        </w:r>
        <w:r>
          <w:tab/>
        </w:r>
        <w:r>
          <w:fldChar w:fldCharType="begin"/>
        </w:r>
        <w:r>
          <w:instrText xml:space="preserve"> PAGEREF _Toc256000023 \h </w:instrText>
        </w:r>
        <w:r>
          <w:fldChar w:fldCharType="separate"/>
        </w:r>
        <w:r>
          <w:t>8</w:t>
        </w:r>
        <w:r>
          <w:fldChar w:fldCharType="end"/>
        </w:r>
      </w:hyperlink>
    </w:p>
    <w:p>
      <w:pPr>
        <w:pStyle w:val="TOC2"/>
        <w:tabs>
          <w:tab w:val="left" w:pos="880"/>
          <w:tab w:val="right" w:leader="dot" w:pos="10456"/>
        </w:tabs>
        <w:rPr>
          <w:rFonts w:asciiTheme="minorHAnsi" w:hAnsiTheme="minorHAnsi"/>
          <w:noProof/>
          <w:sz w:val="22"/>
        </w:rPr>
      </w:pPr>
      <w:hyperlink w:anchor="_Toc256000024" w:history="1">
        <w:r>
          <w:rPr>
            <w:rStyle w:val="Hyperlink"/>
          </w:rPr>
          <w:t>4.4</w:t>
        </w:r>
        <w:r>
          <w:rPr>
            <w:rFonts w:asciiTheme="minorHAnsi" w:hAnsiTheme="minorHAnsi"/>
            <w:noProof/>
            <w:sz w:val="22"/>
          </w:rPr>
          <w:tab/>
        </w:r>
        <w:r w:rsidRPr="008D745C">
          <w:rPr>
            <w:rStyle w:val="Hyperlink"/>
          </w:rPr>
          <w:t>Reinvesteringskostnad (RI)</w:t>
        </w:r>
        <w:r>
          <w:tab/>
        </w:r>
        <w:r>
          <w:fldChar w:fldCharType="begin"/>
        </w:r>
        <w:r>
          <w:instrText xml:space="preserve"> PAGEREF _Toc256000024 \h </w:instrText>
        </w:r>
        <w:r>
          <w:fldChar w:fldCharType="separate"/>
        </w:r>
        <w:r>
          <w:t>8</w:t>
        </w:r>
        <w:r>
          <w:fldChar w:fldCharType="end"/>
        </w:r>
      </w:hyperlink>
    </w:p>
    <w:p>
      <w:pPr>
        <w:pStyle w:val="TOC2"/>
        <w:tabs>
          <w:tab w:val="left" w:pos="880"/>
          <w:tab w:val="right" w:leader="dot" w:pos="10456"/>
        </w:tabs>
        <w:rPr>
          <w:rFonts w:asciiTheme="minorHAnsi" w:hAnsiTheme="minorHAnsi"/>
          <w:noProof/>
          <w:sz w:val="22"/>
        </w:rPr>
      </w:pPr>
      <w:hyperlink w:anchor="_Toc256000025" w:history="1">
        <w:r>
          <w:rPr>
            <w:rStyle w:val="Hyperlink"/>
          </w:rPr>
          <w:t>4.5</w:t>
        </w:r>
        <w:r>
          <w:rPr>
            <w:rFonts w:asciiTheme="minorHAnsi" w:hAnsiTheme="minorHAnsi"/>
            <w:noProof/>
            <w:sz w:val="22"/>
          </w:rPr>
          <w:tab/>
        </w:r>
        <w:r w:rsidRPr="008D745C">
          <w:rPr>
            <w:rStyle w:val="Hyperlink"/>
          </w:rPr>
          <w:t>Fremskyndingskostnad (FK)</w:t>
        </w:r>
        <w:r>
          <w:tab/>
        </w:r>
        <w:r>
          <w:fldChar w:fldCharType="begin"/>
        </w:r>
        <w:r>
          <w:instrText xml:space="preserve"> PAGEREF _Toc256000025 \h </w:instrText>
        </w:r>
        <w:r>
          <w:fldChar w:fldCharType="separate"/>
        </w:r>
        <w:r>
          <w:t>8</w:t>
        </w:r>
        <w:r>
          <w:fldChar w:fldCharType="end"/>
        </w:r>
      </w:hyperlink>
    </w:p>
    <w:p>
      <w:pPr>
        <w:pStyle w:val="TOC2"/>
        <w:tabs>
          <w:tab w:val="left" w:pos="880"/>
          <w:tab w:val="right" w:leader="dot" w:pos="10456"/>
        </w:tabs>
        <w:rPr>
          <w:rFonts w:asciiTheme="minorHAnsi" w:hAnsiTheme="minorHAnsi"/>
          <w:noProof/>
          <w:sz w:val="22"/>
        </w:rPr>
      </w:pPr>
      <w:hyperlink w:anchor="_Toc256000026" w:history="1">
        <w:r>
          <w:rPr>
            <w:rStyle w:val="Hyperlink"/>
          </w:rPr>
          <w:t>4.6</w:t>
        </w:r>
        <w:r>
          <w:rPr>
            <w:rFonts w:asciiTheme="minorHAnsi" w:hAnsiTheme="minorHAnsi"/>
            <w:noProof/>
            <w:sz w:val="22"/>
          </w:rPr>
          <w:tab/>
        </w:r>
        <w:r w:rsidRPr="008D745C">
          <w:rPr>
            <w:rStyle w:val="Hyperlink"/>
          </w:rPr>
          <w:t>Teoretisk levetid på nettkomponenter i distribusjonsnett</w:t>
        </w:r>
        <w:r>
          <w:tab/>
        </w:r>
        <w:r>
          <w:fldChar w:fldCharType="begin"/>
        </w:r>
        <w:r>
          <w:instrText xml:space="preserve"> PAGEREF _Toc256000026 \h </w:instrText>
        </w:r>
        <w:r>
          <w:fldChar w:fldCharType="separate"/>
        </w:r>
        <w:r>
          <w:t>8</w:t>
        </w:r>
        <w:r>
          <w:fldChar w:fldCharType="end"/>
        </w:r>
      </w:hyperlink>
    </w:p>
    <w:p>
      <w:pPr>
        <w:pStyle w:val="TOC2"/>
        <w:tabs>
          <w:tab w:val="left" w:pos="880"/>
          <w:tab w:val="right" w:leader="dot" w:pos="10456"/>
        </w:tabs>
        <w:rPr>
          <w:rFonts w:asciiTheme="minorHAnsi" w:hAnsiTheme="minorHAnsi"/>
          <w:noProof/>
          <w:sz w:val="22"/>
        </w:rPr>
      </w:pPr>
      <w:hyperlink w:anchor="_Toc256000027" w:history="1">
        <w:r>
          <w:rPr>
            <w:rStyle w:val="Hyperlink"/>
          </w:rPr>
          <w:t>4.7</w:t>
        </w:r>
        <w:r>
          <w:rPr>
            <w:rFonts w:asciiTheme="minorHAnsi" w:hAnsiTheme="minorHAnsi"/>
            <w:noProof/>
            <w:sz w:val="22"/>
          </w:rPr>
          <w:tab/>
        </w:r>
        <w:r w:rsidRPr="008D745C">
          <w:rPr>
            <w:rStyle w:val="Hyperlink"/>
          </w:rPr>
          <w:t>Veiledende verdier for teknisk levetid for ulike typer regionalnettsanlegg</w:t>
        </w:r>
        <w:r>
          <w:tab/>
        </w:r>
        <w:r>
          <w:fldChar w:fldCharType="begin"/>
        </w:r>
        <w:r>
          <w:instrText xml:space="preserve"> PAGEREF _Toc256000027 \h </w:instrText>
        </w:r>
        <w:r>
          <w:fldChar w:fldCharType="separate"/>
        </w:r>
        <w:r>
          <w:t>8</w:t>
        </w:r>
        <w:r>
          <w:fldChar w:fldCharType="end"/>
        </w:r>
      </w:hyperlink>
    </w:p>
    <w:p>
      <w:pPr>
        <w:pStyle w:val="TOC2"/>
        <w:tabs>
          <w:tab w:val="left" w:pos="880"/>
          <w:tab w:val="right" w:leader="dot" w:pos="10456"/>
        </w:tabs>
        <w:rPr>
          <w:rFonts w:asciiTheme="minorHAnsi" w:hAnsiTheme="minorHAnsi"/>
          <w:noProof/>
          <w:sz w:val="22"/>
        </w:rPr>
      </w:pPr>
      <w:hyperlink w:anchor="_Toc256000028" w:history="1">
        <w:r>
          <w:rPr>
            <w:rStyle w:val="Hyperlink"/>
          </w:rPr>
          <w:t>4.8</w:t>
        </w:r>
        <w:r>
          <w:rPr>
            <w:rFonts w:asciiTheme="minorHAnsi" w:hAnsiTheme="minorHAnsi"/>
            <w:noProof/>
            <w:sz w:val="22"/>
          </w:rPr>
          <w:tab/>
        </w:r>
        <w:r w:rsidRPr="008D745C">
          <w:rPr>
            <w:rStyle w:val="Hyperlink"/>
          </w:rPr>
          <w:t>Oppsummert beregning av kostnadsgrunnlag:</w:t>
        </w:r>
        <w:r>
          <w:tab/>
        </w:r>
        <w:r>
          <w:fldChar w:fldCharType="begin"/>
        </w:r>
        <w:r>
          <w:instrText xml:space="preserve"> PAGEREF _Toc256000028 \h </w:instrText>
        </w:r>
        <w:r>
          <w:fldChar w:fldCharType="separate"/>
        </w:r>
        <w:r>
          <w:t>9</w:t>
        </w:r>
        <w:r>
          <w:fldChar w:fldCharType="end"/>
        </w:r>
      </w:hyperlink>
    </w:p>
    <w:p>
      <w:pPr>
        <w:pStyle w:val="TOC2"/>
        <w:tabs>
          <w:tab w:val="left" w:pos="880"/>
          <w:tab w:val="right" w:leader="dot" w:pos="10456"/>
        </w:tabs>
        <w:rPr>
          <w:rFonts w:asciiTheme="minorHAnsi" w:hAnsiTheme="minorHAnsi"/>
          <w:noProof/>
          <w:sz w:val="22"/>
        </w:rPr>
      </w:pPr>
      <w:hyperlink w:anchor="_Toc256000029" w:history="1">
        <w:r>
          <w:rPr>
            <w:rStyle w:val="Hyperlink"/>
          </w:rPr>
          <w:t>4.9</w:t>
        </w:r>
        <w:r>
          <w:rPr>
            <w:rFonts w:asciiTheme="minorHAnsi" w:hAnsiTheme="minorHAnsi"/>
            <w:noProof/>
            <w:sz w:val="22"/>
          </w:rPr>
          <w:tab/>
        </w:r>
        <w:r>
          <w:rPr>
            <w:rStyle w:val="Hyperlink"/>
          </w:rPr>
          <w:t>M</w:t>
        </w:r>
        <w:r w:rsidRPr="008D745C">
          <w:rPr>
            <w:rStyle w:val="Hyperlink"/>
          </w:rPr>
          <w:t>etode</w:t>
        </w:r>
        <w:r>
          <w:rPr>
            <w:rStyle w:val="Hyperlink"/>
          </w:rPr>
          <w:t xml:space="preserve"> for å beregne kundens andel av kostnadsgrunnlaget</w:t>
        </w:r>
        <w:r>
          <w:tab/>
        </w:r>
        <w:r>
          <w:fldChar w:fldCharType="begin"/>
        </w:r>
        <w:r>
          <w:instrText xml:space="preserve"> PAGEREF _Toc256000029 \h </w:instrText>
        </w:r>
        <w:r>
          <w:fldChar w:fldCharType="separate"/>
        </w:r>
        <w:r>
          <w:t>9</w:t>
        </w:r>
        <w:r>
          <w:fldChar w:fldCharType="end"/>
        </w:r>
      </w:hyperlink>
    </w:p>
    <w:p>
      <w:pPr>
        <w:pStyle w:val="TOC2"/>
        <w:tabs>
          <w:tab w:val="left" w:pos="880"/>
          <w:tab w:val="right" w:leader="dot" w:pos="10456"/>
        </w:tabs>
        <w:rPr>
          <w:rFonts w:asciiTheme="minorHAnsi" w:hAnsiTheme="minorHAnsi"/>
          <w:noProof/>
          <w:sz w:val="22"/>
        </w:rPr>
      </w:pPr>
      <w:hyperlink w:anchor="_Toc256000030" w:history="1">
        <w:r>
          <w:rPr>
            <w:rStyle w:val="Hyperlink"/>
          </w:rPr>
          <w:t>4.10</w:t>
        </w:r>
        <w:r>
          <w:rPr>
            <w:rFonts w:asciiTheme="minorHAnsi" w:hAnsiTheme="minorHAnsi"/>
            <w:noProof/>
            <w:sz w:val="22"/>
          </w:rPr>
          <w:tab/>
        </w:r>
        <w:r w:rsidRPr="008D745C">
          <w:rPr>
            <w:rStyle w:val="Hyperlink"/>
          </w:rPr>
          <w:t>Teoretiske effekter i distribusjonsnettet</w:t>
        </w:r>
        <w:r>
          <w:tab/>
        </w:r>
        <w:r>
          <w:fldChar w:fldCharType="begin"/>
        </w:r>
        <w:r>
          <w:instrText xml:space="preserve"> PAGEREF _Toc256000030 \h </w:instrText>
        </w:r>
        <w:r>
          <w:fldChar w:fldCharType="separate"/>
        </w:r>
        <w:r>
          <w:t>11</w:t>
        </w:r>
        <w:r>
          <w:fldChar w:fldCharType="end"/>
        </w:r>
      </w:hyperlink>
    </w:p>
    <w:p>
      <w:pPr>
        <w:pStyle w:val="TOC2"/>
        <w:tabs>
          <w:tab w:val="left" w:pos="880"/>
          <w:tab w:val="right" w:leader="dot" w:pos="10456"/>
        </w:tabs>
        <w:rPr>
          <w:rFonts w:asciiTheme="minorHAnsi" w:hAnsiTheme="minorHAnsi"/>
          <w:noProof/>
          <w:sz w:val="22"/>
        </w:rPr>
      </w:pPr>
      <w:hyperlink w:anchor="_Toc256000031" w:history="1">
        <w:r>
          <w:rPr>
            <w:rStyle w:val="Hyperlink"/>
          </w:rPr>
          <w:t>4.11</w:t>
        </w:r>
        <w:r>
          <w:rPr>
            <w:rFonts w:asciiTheme="minorHAnsi" w:hAnsiTheme="minorHAnsi"/>
            <w:noProof/>
            <w:sz w:val="22"/>
          </w:rPr>
          <w:tab/>
        </w:r>
        <w:r w:rsidRPr="008D745C">
          <w:rPr>
            <w:rStyle w:val="Hyperlink"/>
          </w:rPr>
          <w:t>Teoretiske effekter i regionalnettet</w:t>
        </w:r>
        <w:r>
          <w:tab/>
        </w:r>
        <w:r>
          <w:fldChar w:fldCharType="begin"/>
        </w:r>
        <w:r>
          <w:instrText xml:space="preserve"> PAGEREF _Toc256000031 \h </w:instrText>
        </w:r>
        <w:r>
          <w:fldChar w:fldCharType="separate"/>
        </w:r>
        <w:r>
          <w:t>11</w:t>
        </w:r>
        <w:r>
          <w:fldChar w:fldCharType="end"/>
        </w:r>
      </w:hyperlink>
    </w:p>
    <w:p>
      <w:pPr>
        <w:pStyle w:val="TOC2"/>
        <w:tabs>
          <w:tab w:val="left" w:pos="880"/>
          <w:tab w:val="right" w:leader="dot" w:pos="10456"/>
        </w:tabs>
        <w:rPr>
          <w:rFonts w:asciiTheme="minorHAnsi" w:hAnsiTheme="minorHAnsi"/>
          <w:noProof/>
          <w:sz w:val="22"/>
        </w:rPr>
      </w:pPr>
      <w:hyperlink w:anchor="_Toc256000032" w:history="1">
        <w:r>
          <w:rPr>
            <w:rStyle w:val="Hyperlink"/>
          </w:rPr>
          <w:t>4.12</w:t>
        </w:r>
        <w:r>
          <w:rPr>
            <w:rFonts w:asciiTheme="minorHAnsi" w:hAnsiTheme="minorHAnsi"/>
            <w:noProof/>
            <w:sz w:val="22"/>
          </w:rPr>
          <w:tab/>
        </w:r>
        <w:r w:rsidRPr="008D745C">
          <w:rPr>
            <w:rStyle w:val="Hyperlink"/>
          </w:rPr>
          <w:t>Teoretisk effekt i kundens anlegg</w:t>
        </w:r>
        <w:r>
          <w:tab/>
        </w:r>
        <w:r>
          <w:fldChar w:fldCharType="begin"/>
        </w:r>
        <w:r>
          <w:instrText xml:space="preserve"> PAGEREF _Toc256000032 \h </w:instrText>
        </w:r>
        <w:r>
          <w:fldChar w:fldCharType="separate"/>
        </w:r>
        <w:r>
          <w:t>11</w:t>
        </w:r>
        <w:r>
          <w:fldChar w:fldCharType="end"/>
        </w:r>
      </w:hyperlink>
    </w:p>
    <w:p>
      <w:pPr>
        <w:pStyle w:val="TOC1"/>
        <w:tabs>
          <w:tab w:val="left" w:pos="440"/>
          <w:tab w:val="right" w:leader="dot" w:pos="10456"/>
        </w:tabs>
        <w:rPr>
          <w:rFonts w:asciiTheme="minorHAnsi" w:hAnsiTheme="minorHAnsi"/>
          <w:noProof/>
          <w:sz w:val="22"/>
        </w:rPr>
      </w:pPr>
      <w:hyperlink w:anchor="_Toc256000033" w:history="1">
        <w:r>
          <w:rPr>
            <w:rStyle w:val="Hyperlink"/>
          </w:rPr>
          <w:t>5</w:t>
        </w:r>
        <w:r>
          <w:rPr>
            <w:rFonts w:asciiTheme="minorHAnsi" w:hAnsiTheme="minorHAnsi"/>
            <w:noProof/>
            <w:sz w:val="22"/>
          </w:rPr>
          <w:tab/>
        </w:r>
        <w:r w:rsidRPr="008D745C">
          <w:rPr>
            <w:rStyle w:val="Hyperlink"/>
          </w:rPr>
          <w:t>ØVRIG RAMMEVERK</w:t>
        </w:r>
        <w:r>
          <w:rPr>
            <w:rStyle w:val="Hyperlink"/>
          </w:rPr>
          <w:t xml:space="preserve"> I DISTRIBUSJONSNETTET</w:t>
        </w:r>
        <w:r>
          <w:tab/>
        </w:r>
        <w:r>
          <w:fldChar w:fldCharType="begin"/>
        </w:r>
        <w:r>
          <w:instrText xml:space="preserve"> PAGEREF _Toc256000033 \h </w:instrText>
        </w:r>
        <w:r>
          <w:fldChar w:fldCharType="separate"/>
        </w:r>
        <w:r>
          <w:t>12</w:t>
        </w:r>
        <w:r>
          <w:fldChar w:fldCharType="end"/>
        </w:r>
      </w:hyperlink>
    </w:p>
    <w:p>
      <w:pPr>
        <w:pStyle w:val="TOC2"/>
        <w:tabs>
          <w:tab w:val="left" w:pos="880"/>
          <w:tab w:val="right" w:leader="dot" w:pos="10456"/>
        </w:tabs>
        <w:rPr>
          <w:rFonts w:asciiTheme="minorHAnsi" w:hAnsiTheme="minorHAnsi"/>
          <w:noProof/>
          <w:sz w:val="22"/>
        </w:rPr>
      </w:pPr>
      <w:hyperlink w:anchor="_Toc256000034" w:history="1">
        <w:r>
          <w:rPr>
            <w:rStyle w:val="Hyperlink"/>
          </w:rPr>
          <w:t>5.1</w:t>
        </w:r>
        <w:r>
          <w:rPr>
            <w:rFonts w:asciiTheme="minorHAnsi" w:hAnsiTheme="minorHAnsi"/>
            <w:noProof/>
            <w:sz w:val="22"/>
          </w:rPr>
          <w:tab/>
        </w:r>
        <w:r>
          <w:rPr>
            <w:rStyle w:val="Hyperlink"/>
          </w:rPr>
          <w:t>Grunneieravståelser</w:t>
        </w:r>
        <w:r>
          <w:tab/>
        </w:r>
        <w:r>
          <w:fldChar w:fldCharType="begin"/>
        </w:r>
        <w:r>
          <w:instrText xml:space="preserve"> PAGEREF _Toc256000034 \h </w:instrText>
        </w:r>
        <w:r>
          <w:fldChar w:fldCharType="separate"/>
        </w:r>
        <w:r>
          <w:t>12</w:t>
        </w:r>
        <w:r>
          <w:fldChar w:fldCharType="end"/>
        </w:r>
      </w:hyperlink>
    </w:p>
    <w:p>
      <w:pPr>
        <w:pStyle w:val="TOC2"/>
        <w:tabs>
          <w:tab w:val="left" w:pos="880"/>
          <w:tab w:val="right" w:leader="dot" w:pos="10456"/>
        </w:tabs>
        <w:rPr>
          <w:rFonts w:asciiTheme="minorHAnsi" w:hAnsiTheme="minorHAnsi"/>
          <w:noProof/>
          <w:sz w:val="22"/>
        </w:rPr>
      </w:pPr>
      <w:hyperlink w:anchor="_Toc256000035" w:history="1">
        <w:r>
          <w:rPr>
            <w:rStyle w:val="Hyperlink"/>
          </w:rPr>
          <w:t>5.2</w:t>
        </w:r>
        <w:r>
          <w:rPr>
            <w:rFonts w:asciiTheme="minorHAnsi" w:hAnsiTheme="minorHAnsi"/>
            <w:noProof/>
            <w:sz w:val="22"/>
          </w:rPr>
          <w:tab/>
        </w:r>
        <w:r>
          <w:rPr>
            <w:rStyle w:val="Hyperlink"/>
          </w:rPr>
          <w:t>Graventreprise</w:t>
        </w:r>
        <w:r>
          <w:tab/>
        </w:r>
        <w:r>
          <w:fldChar w:fldCharType="begin"/>
        </w:r>
        <w:r>
          <w:instrText xml:space="preserve"> PAGEREF _Toc256000035 \h </w:instrText>
        </w:r>
        <w:r>
          <w:fldChar w:fldCharType="separate"/>
        </w:r>
        <w:r>
          <w:t>12</w:t>
        </w:r>
        <w:r>
          <w:fldChar w:fldCharType="end"/>
        </w:r>
      </w:hyperlink>
    </w:p>
    <w:p>
      <w:pPr>
        <w:pStyle w:val="TOC2"/>
        <w:tabs>
          <w:tab w:val="left" w:pos="880"/>
          <w:tab w:val="right" w:leader="dot" w:pos="10456"/>
        </w:tabs>
        <w:rPr>
          <w:rFonts w:asciiTheme="minorHAnsi" w:hAnsiTheme="minorHAnsi"/>
          <w:noProof/>
          <w:sz w:val="22"/>
        </w:rPr>
      </w:pPr>
      <w:hyperlink w:anchor="_Toc256000036" w:history="1">
        <w:r>
          <w:rPr>
            <w:rStyle w:val="Hyperlink"/>
          </w:rPr>
          <w:t>5.3</w:t>
        </w:r>
        <w:r>
          <w:rPr>
            <w:rFonts w:asciiTheme="minorHAnsi" w:hAnsiTheme="minorHAnsi"/>
            <w:noProof/>
            <w:sz w:val="22"/>
          </w:rPr>
          <w:tab/>
        </w:r>
        <w:r>
          <w:rPr>
            <w:rStyle w:val="Hyperlink"/>
          </w:rPr>
          <w:t>Byggherrerollen</w:t>
        </w:r>
        <w:r>
          <w:tab/>
        </w:r>
        <w:r>
          <w:fldChar w:fldCharType="begin"/>
        </w:r>
        <w:r>
          <w:instrText xml:space="preserve"> PAGEREF _Toc256000036 \h </w:instrText>
        </w:r>
        <w:r>
          <w:fldChar w:fldCharType="separate"/>
        </w:r>
        <w:r>
          <w:t>13</w:t>
        </w:r>
        <w:r>
          <w:fldChar w:fldCharType="end"/>
        </w:r>
      </w:hyperlink>
    </w:p>
    <w:p>
      <w:pPr>
        <w:pStyle w:val="TOC2"/>
        <w:tabs>
          <w:tab w:val="left" w:pos="880"/>
          <w:tab w:val="right" w:leader="dot" w:pos="10456"/>
        </w:tabs>
        <w:rPr>
          <w:rFonts w:asciiTheme="minorHAnsi" w:hAnsiTheme="minorHAnsi"/>
          <w:noProof/>
          <w:sz w:val="22"/>
        </w:rPr>
      </w:pPr>
      <w:hyperlink w:anchor="_Toc256000037" w:history="1">
        <w:r>
          <w:rPr>
            <w:rStyle w:val="Hyperlink"/>
          </w:rPr>
          <w:t>5.4</w:t>
        </w:r>
        <w:r>
          <w:rPr>
            <w:rFonts w:asciiTheme="minorHAnsi" w:hAnsiTheme="minorHAnsi"/>
            <w:noProof/>
            <w:sz w:val="22"/>
          </w:rPr>
          <w:tab/>
        </w:r>
        <w:r w:rsidRPr="0019403A">
          <w:rPr>
            <w:rStyle w:val="Hyperlink"/>
          </w:rPr>
          <w:t>Fremdriftsavtaler, konsekvenser ved utsettelser</w:t>
        </w:r>
        <w:r>
          <w:tab/>
        </w:r>
        <w:r>
          <w:fldChar w:fldCharType="begin"/>
        </w:r>
        <w:r>
          <w:instrText xml:space="preserve"> PAGEREF _Toc256000037 \h </w:instrText>
        </w:r>
        <w:r>
          <w:fldChar w:fldCharType="separate"/>
        </w:r>
        <w:r>
          <w:t>13</w:t>
        </w:r>
        <w:r>
          <w:fldChar w:fldCharType="end"/>
        </w:r>
      </w:hyperlink>
    </w:p>
    <w:p w:rsidR="00584D3B" w:rsidP="007B5F12">
      <w:pPr>
        <w:ind w:left="0" w:firstLine="0"/>
        <w:rPr>
          <w:caps/>
        </w:rPr>
      </w:pPr>
      <w:r>
        <w:rPr>
          <w:caps/>
        </w:rPr>
        <w:fldChar w:fldCharType="end"/>
      </w:r>
    </w:p>
    <w:p w:rsidR="00584D3B" w14:paraId="6712971B" w14:textId="77777777">
      <w:pPr>
        <w:spacing w:after="160" w:line="259" w:lineRule="auto"/>
        <w:ind w:left="0" w:firstLine="0"/>
        <w:rPr>
          <w:caps/>
        </w:rPr>
      </w:pPr>
      <w:r>
        <w:rPr>
          <w:caps/>
        </w:rPr>
        <w:br w:type="page"/>
      </w:r>
    </w:p>
    <w:p w:rsidR="007B5F12" w:rsidRPr="008D745C" w:rsidP="007B5F12" w14:paraId="59DE3A9C" w14:textId="511E591B">
      <w:pPr>
        <w:ind w:left="0" w:firstLine="0"/>
      </w:pPr>
      <w:r w:rsidRPr="008D745C">
        <w:rPr>
          <w:noProof/>
        </w:rPr>
        <w:drawing>
          <wp:anchor distT="0" distB="0" distL="114300" distR="114300" simplePos="0" relativeHeight="251658240" behindDoc="1" locked="0" layoutInCell="1" allowOverlap="1">
            <wp:simplePos x="0" y="0"/>
            <wp:positionH relativeFrom="margin">
              <wp:posOffset>4140679</wp:posOffset>
            </wp:positionH>
            <wp:positionV relativeFrom="paragraph">
              <wp:posOffset>323</wp:posOffset>
            </wp:positionV>
            <wp:extent cx="2194560" cy="3101975"/>
            <wp:effectExtent l="0" t="0" r="0" b="3175"/>
            <wp:wrapTight wrapText="bothSides">
              <wp:wrapPolygon>
                <wp:start x="0" y="0"/>
                <wp:lineTo x="0" y="21489"/>
                <wp:lineTo x="21375" y="21489"/>
                <wp:lineTo x="21375" y="0"/>
                <wp:lineTo x="0" y="0"/>
              </wp:wrapPolygon>
            </wp:wrapTight>
            <wp:docPr id="3" name="Bilde 3" descr="Et bilde som inneholder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t bilde som inneholder kart&#10;&#10;Automatisk generert beskrivelse"/>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4560" cy="310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745C" w:rsidR="009A38B7">
        <w:t xml:space="preserve">Dokumentet beskriver TENSIO </w:t>
      </w:r>
      <w:r w:rsidR="00360369">
        <w:t>TS</w:t>
      </w:r>
      <w:r w:rsidRPr="008D745C" w:rsidR="009A38B7">
        <w:t xml:space="preserve"> sin praksis ovenfor kunder som initierer investeringer i Tensio TS sitt distribusjonsnett og regionalnett, som følge av nytt- eller økt forbruk hos sluttkunde. </w:t>
      </w:r>
    </w:p>
    <w:p w:rsidR="007B5F12" w:rsidRPr="008D745C" w:rsidP="007B5F12" w14:paraId="40C551A5" w14:textId="002CAF6D">
      <w:pPr>
        <w:rPr>
          <w:sz w:val="18"/>
        </w:rPr>
      </w:pPr>
      <w:r w:rsidRPr="008D745C">
        <w:rPr>
          <w:rFonts w:eastAsia="Calibri"/>
        </w:rPr>
        <w:tab/>
      </w:r>
    </w:p>
    <w:p w:rsidR="007B5F12" w:rsidRPr="007B5F12" w:rsidP="007B5F12" w14:paraId="6CDA0FB0" w14:textId="43BE95E4">
      <w:pPr>
        <w:pStyle w:val="Heading1"/>
      </w:pPr>
      <w:bookmarkStart w:id="0" w:name="_Toc130984361"/>
      <w:bookmarkStart w:id="1" w:name="_Toc256000000"/>
      <w:r w:rsidRPr="007B5F12">
        <w:t>OM ANLEGGSBIDRAG</w:t>
      </w:r>
      <w:bookmarkEnd w:id="1"/>
      <w:bookmarkEnd w:id="0"/>
    </w:p>
    <w:p w:rsidR="007B5F12" w:rsidRPr="007B5F12" w:rsidP="00A53C11" w14:paraId="0498D099" w14:textId="36215594">
      <w:pPr>
        <w:pStyle w:val="Heading2"/>
      </w:pPr>
      <w:bookmarkStart w:id="2" w:name="_Toc130984362"/>
      <w:bookmarkStart w:id="3" w:name="_Toc256000001"/>
      <w:r w:rsidRPr="007B5F12">
        <w:t>Hjemmel for anleggsbidrag</w:t>
      </w:r>
      <w:bookmarkEnd w:id="3"/>
      <w:bookmarkEnd w:id="2"/>
      <w:r w:rsidRPr="007B5F12">
        <w:t xml:space="preserve"> </w:t>
      </w:r>
    </w:p>
    <w:p w:rsidR="007B5F12" w:rsidP="007B5F12" w14:paraId="75872238" w14:textId="4B32AD94">
      <w:r w:rsidRPr="008D745C">
        <w:t xml:space="preserve">Krav om innkreving av anleggsbidrag er hjemlet i Norges Vassdrags- og Energidirektorat sin «Forskrift om økonomisk og teknisk rapportering, inntektsramme for nettvirksomheten og tariffer» (Forskrift om kontroll av nettvirksomhet) </w:t>
      </w:r>
    </w:p>
    <w:p w:rsidR="007B5F12" w:rsidRPr="008D745C" w:rsidP="007B5F12" w14:paraId="5C38B7BA" w14:textId="77777777"/>
    <w:p w:rsidR="007B5F12" w:rsidRPr="00A53C11" w:rsidP="00A53C11" w14:paraId="06ED3E4E" w14:textId="45CA2A16">
      <w:pPr>
        <w:pStyle w:val="Heading2"/>
      </w:pPr>
      <w:bookmarkStart w:id="4" w:name="_Toc130984363"/>
      <w:bookmarkStart w:id="5" w:name="_Toc256000002"/>
      <w:r w:rsidRPr="00A53C11">
        <w:t>Hensikt med anleggsbidrag</w:t>
      </w:r>
      <w:bookmarkEnd w:id="5"/>
      <w:bookmarkEnd w:id="4"/>
      <w:r w:rsidRPr="00A53C11">
        <w:t xml:space="preserve"> </w:t>
      </w:r>
    </w:p>
    <w:p w:rsidR="007B5F12" w:rsidRPr="008D745C" w:rsidP="007B5F12" w14:paraId="567BE0BF" w14:textId="77777777">
      <w:r w:rsidRPr="008D745C">
        <w:t xml:space="preserve">Anleggsbidrag er et engangsbeløp som nettselskapet skal kreve inn fra nye kunder, eller fra eksisterende kunder med økte effektbehov, for å dekke hele eller deler av kostnaden ved å knytte kunder til fordelingsnettet. </w:t>
      </w:r>
    </w:p>
    <w:p w:rsidR="007B5F12" w:rsidRPr="008D745C" w:rsidP="007B5F12" w14:paraId="6969D1E1" w14:textId="77777777">
      <w:r w:rsidRPr="008D745C">
        <w:t xml:space="preserve"> </w:t>
      </w:r>
    </w:p>
    <w:p w:rsidR="007B5F12" w:rsidRPr="008D745C" w:rsidP="007B5F12" w14:paraId="1BA5A46B" w14:textId="77777777">
      <w:r w:rsidRPr="008D745C">
        <w:t>Anleggsbidragets hensikt er å fordele nettselskapets investeringskostnader på en rimelig måte mellom kunden som utløser investeringen (anleggsbidrag) og de øvrige strømkundene i Tensio TS (nettleia).</w:t>
      </w:r>
      <w:r w:rsidRPr="008D745C">
        <w:rPr>
          <w:sz w:val="16"/>
        </w:rPr>
        <w:t xml:space="preserve"> </w:t>
      </w:r>
    </w:p>
    <w:p w:rsidR="007B5F12" w:rsidRPr="008D745C" w:rsidP="007B5F12" w14:paraId="3CA16421" w14:textId="77777777">
      <w:r w:rsidRPr="008D745C">
        <w:t xml:space="preserve">  </w:t>
      </w:r>
    </w:p>
    <w:p w:rsidR="007B5F12" w:rsidRPr="008D745C" w:rsidP="007B5F12" w14:paraId="168B15DD" w14:textId="51B34DD4">
      <w:r w:rsidRPr="008D745C">
        <w:t xml:space="preserve">Anleggsbidraget skal også synliggjøre de samfunnsmessige kostnader ovenfor kunden, slik at tilknytning/forsterkning kan vurderes mot alternative tiltak. </w:t>
      </w:r>
    </w:p>
    <w:p w:rsidR="007B5F12" w:rsidRPr="008D745C" w:rsidP="007B5F12" w14:paraId="70D28AE3" w14:textId="77777777"/>
    <w:p w:rsidR="007B5F12" w:rsidRPr="008D745C" w:rsidP="00A53C11" w14:paraId="58270ADE" w14:textId="77777777">
      <w:pPr>
        <w:pStyle w:val="Heading2"/>
      </w:pPr>
      <w:bookmarkStart w:id="6" w:name="_Toc130984364"/>
      <w:bookmarkStart w:id="7" w:name="_Toc256000003"/>
      <w:r w:rsidRPr="008D745C">
        <w:t>Nettselskapets leveringsplikt</w:t>
      </w:r>
      <w:bookmarkEnd w:id="7"/>
      <w:bookmarkEnd w:id="6"/>
      <w:r w:rsidRPr="008D745C">
        <w:t xml:space="preserve"> </w:t>
      </w:r>
    </w:p>
    <w:p w:rsidR="007B5F12" w:rsidRPr="008D745C" w:rsidP="007B5F12" w14:paraId="6CD8CFC5" w14:textId="77B3D035">
      <w:r>
        <w:t>«</w:t>
      </w:r>
      <w:r w:rsidRPr="008D745C">
        <w:t>Lov om produksjon, omforming, overføring, omsetning, fordeling og bruk av energi m.m. (</w:t>
      </w:r>
      <w:r w:rsidRPr="00683AD0">
        <w:t>energiloven</w:t>
      </w:r>
      <w:r w:rsidRPr="008D745C">
        <w:t>)</w:t>
      </w:r>
      <w:r>
        <w:t>»</w:t>
      </w:r>
      <w:r w:rsidRPr="008D745C">
        <w:t xml:space="preserve"> gir </w:t>
      </w:r>
      <w:bookmarkStart w:id="8" w:name="_Hlk25673144"/>
      <w:r w:rsidRPr="008D745C">
        <w:t>Tensio TS</w:t>
      </w:r>
      <w:bookmarkEnd w:id="8"/>
      <w:r w:rsidRPr="008D745C">
        <w:t xml:space="preserve"> plikt til å tilknytte nye kunder til strømnettet og å levere elektrisk energi til forbrukskunder, der Tensio TS har områdekonsesjon gitt av NVE. </w:t>
      </w:r>
      <w:r w:rsidRPr="008D745C">
        <w:rPr>
          <w:color w:val="632523"/>
        </w:rPr>
        <w:t xml:space="preserve"> </w:t>
      </w:r>
      <w:r w:rsidRPr="008D745C">
        <w:rPr>
          <w:color w:val="632523"/>
        </w:rPr>
        <w:tab/>
        <w:t xml:space="preserve"> </w:t>
      </w:r>
    </w:p>
    <w:p w:rsidR="007B5F12" w:rsidRPr="008D745C" w:rsidP="007B5F12" w14:paraId="54A7B2B3" w14:textId="77777777">
      <w:r w:rsidRPr="008D745C">
        <w:t xml:space="preserve"> </w:t>
      </w:r>
    </w:p>
    <w:p w:rsidR="007B5F12" w:rsidRPr="008D745C" w:rsidP="007B5F12" w14:paraId="407F59DD" w14:textId="393AFCC3">
      <w:r w:rsidRPr="008D745C">
        <w:t xml:space="preserve">Kunder har ikke rett til vederlagsfri tilgang til nettet gjennom leveringsplikten. Nettselskapene skal i samsvar med gjeldende regelverk beregne anleggsbidrag for kostnaden som følger av hver enkel tilknytning/effektøkning bestilt av kunde. </w:t>
      </w:r>
    </w:p>
    <w:p w:rsidR="007B5F12" w:rsidRPr="008D745C" w:rsidP="007B5F12" w14:paraId="70A74F25" w14:textId="2A3418B6">
      <w:r w:rsidRPr="008D745C">
        <w:t xml:space="preserve"> </w:t>
      </w:r>
    </w:p>
    <w:p w:rsidR="007B5F12" w:rsidRPr="008D745C" w:rsidP="00A53C11" w14:paraId="5D9432CE" w14:textId="77777777">
      <w:pPr>
        <w:pStyle w:val="Heading2"/>
      </w:pPr>
      <w:bookmarkStart w:id="9" w:name="_Toc130984365"/>
      <w:bookmarkStart w:id="10" w:name="_Toc256000004"/>
      <w:r w:rsidRPr="008D745C">
        <w:t>Klagemuligheter ved uenighet om anleggsbidrag</w:t>
      </w:r>
      <w:bookmarkEnd w:id="10"/>
      <w:bookmarkEnd w:id="9"/>
      <w:r w:rsidRPr="008D745C">
        <w:t xml:space="preserve">  </w:t>
      </w:r>
    </w:p>
    <w:p w:rsidR="007B5F12" w:rsidRPr="008D745C" w:rsidP="007B5F12" w14:paraId="196DE620" w14:textId="095AA541">
      <w:r w:rsidRPr="008D745C">
        <w:t>Ved uenighet om anleggsbidraget kan saken bringes inn for Reguleringsmyndigheten for energi</w:t>
      </w:r>
      <w:r w:rsidR="00360369">
        <w:t>.</w:t>
      </w:r>
      <w:r w:rsidRPr="008D745C">
        <w:t xml:space="preserve"> </w:t>
      </w:r>
    </w:p>
    <w:p w:rsidR="00A7423B" w:rsidP="007B5F12" w14:paraId="4FF33DA6" w14:textId="04F06CF6"/>
    <w:p w:rsidR="00292B45" w14:paraId="28221293" w14:textId="487983A8">
      <w:pPr>
        <w:spacing w:after="160" w:line="259" w:lineRule="auto"/>
        <w:ind w:left="0" w:firstLine="0"/>
      </w:pPr>
      <w:r>
        <w:br w:type="page"/>
      </w:r>
    </w:p>
    <w:p w:rsidR="007B5F12" w:rsidRPr="00557437" w:rsidP="007B5F12" w14:paraId="3E2F46AD" w14:textId="77777777">
      <w:pPr>
        <w:pStyle w:val="Heading1"/>
      </w:pPr>
      <w:bookmarkStart w:id="11" w:name="_Toc130984366"/>
      <w:bookmarkStart w:id="12" w:name="_Toc256000005"/>
      <w:r w:rsidRPr="00557437">
        <w:t>Kundeprosessen</w:t>
      </w:r>
      <w:bookmarkEnd w:id="12"/>
      <w:bookmarkEnd w:id="11"/>
    </w:p>
    <w:p w:rsidR="007B5F12" w:rsidRPr="009A62CE" w:rsidP="00A53C11" w14:paraId="36B73A4F" w14:textId="35096EDC">
      <w:pPr>
        <w:pStyle w:val="Heading2"/>
      </w:pPr>
      <w:bookmarkStart w:id="13" w:name="_Toc130984367"/>
      <w:bookmarkStart w:id="14" w:name="_Toc256000006"/>
      <w:r w:rsidRPr="009A62CE">
        <w:t xml:space="preserve">Forespørsel fra kunde </w:t>
      </w:r>
      <w:r>
        <w:t>(</w:t>
      </w:r>
      <w:r w:rsidR="00360369">
        <w:t>kundehenvendelse</w:t>
      </w:r>
      <w:r>
        <w:t>)</w:t>
      </w:r>
      <w:bookmarkEnd w:id="14"/>
      <w:bookmarkEnd w:id="13"/>
    </w:p>
    <w:p w:rsidR="007B5F12" w:rsidP="007B5F12" w14:paraId="2E44ABE9" w14:textId="287AE130">
      <w:r w:rsidRPr="008D745C">
        <w:t>Kunde oppretter en henvendelse til Tensio via skjema som ligger på nettsiden til Tensio</w:t>
      </w:r>
      <w:r w:rsidR="00360369">
        <w:t>.</w:t>
      </w:r>
      <w:r>
        <w:t xml:space="preserve"> </w:t>
      </w:r>
    </w:p>
    <w:p w:rsidR="007B5F12" w:rsidP="007B5F12" w14:paraId="1B83E0DD" w14:textId="77777777">
      <w:r w:rsidRPr="008D745C">
        <w:t xml:space="preserve">Når kunden sender inn skjemaet opprettes en kundesak i kundeportalen. </w:t>
      </w:r>
      <w:r>
        <w:t xml:space="preserve"> </w:t>
      </w:r>
    </w:p>
    <w:p w:rsidR="007B5F12" w:rsidP="007B5F12" w14:paraId="2D56423F" w14:textId="77777777">
      <w:r w:rsidRPr="008D745C">
        <w:t>Første gang må kunden registrere navn, epost og passord. Deretter kan kunden logge seg inn for innsyn på saken, følge status og ha dialog med Tensio.</w:t>
      </w:r>
    </w:p>
    <w:p w:rsidR="007B5F12" w:rsidP="007B5F12" w14:paraId="61383B0F" w14:textId="77777777"/>
    <w:p w:rsidR="007B5F12" w:rsidP="00A53C11" w14:paraId="453E95ED" w14:textId="77777777">
      <w:pPr>
        <w:pStyle w:val="Heading2"/>
      </w:pPr>
      <w:bookmarkStart w:id="15" w:name="_Toc130984368"/>
      <w:bookmarkStart w:id="16" w:name="_Toc256000007"/>
      <w:r>
        <w:t>Informasjon til kunden om anleggsbidrag</w:t>
      </w:r>
      <w:bookmarkEnd w:id="16"/>
      <w:bookmarkEnd w:id="15"/>
    </w:p>
    <w:p w:rsidR="007B5F12" w:rsidP="007B5F12" w14:paraId="0D0A7905" w14:textId="77777777">
      <w:r w:rsidRPr="008D745C">
        <w:rPr>
          <w:b/>
        </w:rPr>
        <w:t>Ved førstegangs henvendelse</w:t>
      </w:r>
      <w:r w:rsidRPr="008D745C">
        <w:t xml:space="preserve"> skal kunden vederlagsfritt, og uten unødig opphold, få tilbakemelding på: </w:t>
      </w:r>
    </w:p>
    <w:p w:rsidR="007B5F12" w:rsidRPr="008D745C" w:rsidP="007B5F12" w14:paraId="65D17913" w14:textId="77777777"/>
    <w:p w:rsidR="007B5F12" w:rsidRPr="008D745C" w:rsidP="007B5F12" w14:paraId="301EB9F3" w14:textId="77777777">
      <w:pPr>
        <w:pStyle w:val="ListParagraph"/>
        <w:numPr>
          <w:ilvl w:val="0"/>
          <w:numId w:val="24"/>
        </w:numPr>
        <w:ind w:right="475"/>
      </w:pPr>
      <w:r w:rsidRPr="008D745C">
        <w:t>Bekreftelse av mottatt henvendelse/bestilling</w:t>
      </w:r>
      <w:r>
        <w:t>.</w:t>
      </w:r>
    </w:p>
    <w:p w:rsidR="007B5F12" w:rsidRPr="008D745C" w:rsidP="007B5F12" w14:paraId="25D07645" w14:textId="77777777">
      <w:pPr>
        <w:pStyle w:val="ListParagraph"/>
        <w:numPr>
          <w:ilvl w:val="0"/>
          <w:numId w:val="24"/>
        </w:numPr>
        <w:ind w:right="475"/>
      </w:pPr>
      <w:r>
        <w:t>Lovpålagt i</w:t>
      </w:r>
      <w:r w:rsidRPr="008D745C">
        <w:t>nformasjon</w:t>
      </w:r>
      <w:r>
        <w:t xml:space="preserve">s om anleggsbidrag </w:t>
      </w:r>
      <w:r>
        <w:t>(informasjonen er beskrevet i dette dokumentet):</w:t>
      </w:r>
    </w:p>
    <w:p w:rsidR="007B5F12" w:rsidRPr="008D745C" w:rsidP="007B5F12" w14:paraId="49560A7C" w14:textId="77777777">
      <w:pPr>
        <w:pStyle w:val="ListParagraph"/>
        <w:numPr>
          <w:ilvl w:val="1"/>
          <w:numId w:val="24"/>
        </w:numPr>
        <w:ind w:right="475"/>
      </w:pPr>
      <w:r w:rsidRPr="008D745C">
        <w:t>Hjemmelsgrunnlag for innkreving av anleggsbidrag</w:t>
      </w:r>
    </w:p>
    <w:p w:rsidR="007B5F12" w:rsidP="007B5F12" w14:paraId="04DD1396" w14:textId="77777777">
      <w:pPr>
        <w:pStyle w:val="ListParagraph"/>
        <w:numPr>
          <w:ilvl w:val="1"/>
          <w:numId w:val="24"/>
        </w:numPr>
        <w:ind w:right="475"/>
      </w:pPr>
      <w:r w:rsidRPr="008D745C">
        <w:t>At uenighet om anleggsbidrag kan bringes inn for Reguleringsmyndigheten for energi.</w:t>
      </w:r>
    </w:p>
    <w:p w:rsidR="007B5F12" w:rsidRPr="008D745C" w:rsidP="007B5F12" w14:paraId="3045217B" w14:textId="77777777">
      <w:pPr>
        <w:pStyle w:val="ListParagraph"/>
        <w:numPr>
          <w:ilvl w:val="1"/>
          <w:numId w:val="24"/>
        </w:numPr>
        <w:ind w:right="475"/>
      </w:pPr>
      <w:r>
        <w:t>Nettselskapet praksis for beregning og innkreving av anleggsbidrag.</w:t>
      </w:r>
    </w:p>
    <w:p w:rsidR="007B5F12" w:rsidRPr="00A55099" w:rsidP="007B5F12" w14:paraId="67224A2B" w14:textId="77777777">
      <w:pPr>
        <w:pStyle w:val="ListParagraph"/>
        <w:numPr>
          <w:ilvl w:val="0"/>
          <w:numId w:val="24"/>
        </w:numPr>
        <w:ind w:right="475"/>
      </w:pPr>
      <w:r w:rsidRPr="008D745C">
        <w:t>Beskrivelse av videre prosess og forventet behandlingstid.</w:t>
      </w:r>
    </w:p>
    <w:p w:rsidR="007B5F12" w:rsidRPr="008D745C" w:rsidP="007B5F12" w14:paraId="29842F56" w14:textId="77777777">
      <w:pPr>
        <w:pStyle w:val="ListParagraph"/>
        <w:numPr>
          <w:ilvl w:val="0"/>
          <w:numId w:val="24"/>
        </w:numPr>
        <w:ind w:right="475"/>
      </w:pPr>
      <w:r>
        <w:t xml:space="preserve">Uforpliktende kostnadsestimat av </w:t>
      </w:r>
      <w:r w:rsidRPr="008D745C">
        <w:t>anleggsbidrag</w:t>
      </w:r>
      <w:r>
        <w:t>et.</w:t>
      </w:r>
    </w:p>
    <w:p w:rsidR="007B5F12" w:rsidP="007B5F12" w14:paraId="4F18B64E" w14:textId="77777777">
      <w:pPr>
        <w:pStyle w:val="ListParagraph"/>
        <w:numPr>
          <w:ilvl w:val="1"/>
          <w:numId w:val="24"/>
        </w:numPr>
        <w:ind w:right="475"/>
      </w:pPr>
      <w:r w:rsidRPr="008D745C">
        <w:t xml:space="preserve">Betinger at kunden har levert tilstrekkelige opplysninger for </w:t>
      </w:r>
      <w:r>
        <w:t xml:space="preserve">at nettselskapet skal </w:t>
      </w:r>
      <w:r w:rsidRPr="008D745C">
        <w:t>kunne dimensjonere nett</w:t>
      </w:r>
      <w:r>
        <w:t>anlegget.</w:t>
      </w:r>
    </w:p>
    <w:p w:rsidR="007B5F12" w:rsidP="007B5F12" w14:paraId="0216B3CB" w14:textId="77777777"/>
    <w:p w:rsidR="007B5F12" w:rsidP="007B5F12" w14:paraId="3BFC23F9" w14:textId="77777777">
      <w:r>
        <w:t xml:space="preserve">Kostnader påløper dersom kunden ønsker å gå videre i saken etter at nettselskapet har gjort en vurdering om tilknytningen er driftsmessig forsvarlig og/eller at nettselskapet har informert om et uforpliktende kostnadsestimat.  </w:t>
      </w:r>
    </w:p>
    <w:p w:rsidR="007B5F12" w:rsidP="007B5F12" w14:paraId="52FCEE43" w14:textId="77777777"/>
    <w:p w:rsidR="007B5F12" w:rsidRPr="008D745C" w:rsidP="007B5F12" w14:paraId="4C4D52E9" w14:textId="77777777">
      <w:r w:rsidRPr="00DE62A0">
        <w:t>Dersom</w:t>
      </w:r>
      <w:r w:rsidRPr="008D745C">
        <w:t xml:space="preserve"> det ønskede effektuttaket ikke kan forsynes fra eksisterende nettanlegg på en driftsmessig forsvarlig måte, tar Tensio TS forbehold om en </w:t>
      </w:r>
      <w:r>
        <w:t>omfangsavklaring</w:t>
      </w:r>
      <w:r w:rsidRPr="008D745C">
        <w:t xml:space="preserve"> for å finne en optimal løsning og ett godt estimat for anleggsbidraget. Slik </w:t>
      </w:r>
      <w:r>
        <w:t>avklaring</w:t>
      </w:r>
      <w:r w:rsidRPr="008D745C">
        <w:t xml:space="preserve"> kreves i noen tilfeller bestilt av kunden, kostnader med </w:t>
      </w:r>
      <w:r>
        <w:t>omfangsavklaringen</w:t>
      </w:r>
      <w:r w:rsidRPr="008D745C">
        <w:t xml:space="preserve"> vil inngå i anleggsbidraget dersom kunden, etter </w:t>
      </w:r>
      <w:r>
        <w:t>avklaringen</w:t>
      </w:r>
      <w:r w:rsidRPr="008D745C">
        <w:t xml:space="preserve">, aksepterer estimert anleggsbidrag.  </w:t>
      </w:r>
    </w:p>
    <w:p w:rsidR="007B5F12" w:rsidP="007B5F12" w14:paraId="4D7294ED" w14:textId="77777777">
      <w:r w:rsidRPr="008D745C">
        <w:t xml:space="preserve">Dersom kunden ikke aksepterer estimert anleggsbidrag (skrinlegger effektbestillingen) vil </w:t>
      </w:r>
      <w:r>
        <w:t xml:space="preserve">de påløpte </w:t>
      </w:r>
      <w:r w:rsidRPr="008D745C">
        <w:t>kostnadene faktureres som ett</w:t>
      </w:r>
      <w:r>
        <w:t xml:space="preserve"> </w:t>
      </w:r>
      <w:r w:rsidRPr="008D745C">
        <w:t xml:space="preserve">tjenesteoppdrag. </w:t>
      </w:r>
    </w:p>
    <w:p w:rsidR="007B5F12" w:rsidP="007B5F12" w14:paraId="3FC83199" w14:textId="77777777"/>
    <w:p w:rsidR="007B5F12" w:rsidRPr="006C1718" w:rsidP="007B5F12" w14:paraId="7E238AD4" w14:textId="77777777"/>
    <w:tbl>
      <w:tblPr>
        <w:tblStyle w:val="TableGrid"/>
        <w:tblW w:w="0" w:type="auto"/>
        <w:tblInd w:w="-5" w:type="dxa"/>
        <w:tblLook w:val="04A0"/>
      </w:tblPr>
      <w:tblGrid>
        <w:gridCol w:w="2410"/>
        <w:gridCol w:w="1134"/>
        <w:gridCol w:w="6912"/>
      </w:tblGrid>
      <w:tr w14:paraId="57B5277F" w14:textId="77777777" w:rsidTr="00BF2EC2">
        <w:tblPrEx>
          <w:tblW w:w="0" w:type="auto"/>
          <w:tblInd w:w="-5" w:type="dxa"/>
          <w:tblLook w:val="04A0"/>
        </w:tblPrEx>
        <w:tc>
          <w:tcPr>
            <w:tcW w:w="10456" w:type="dxa"/>
            <w:gridSpan w:val="3"/>
          </w:tcPr>
          <w:p w:rsidR="007B5F12" w:rsidP="00BF2EC2" w14:paraId="3491D576" w14:textId="77777777">
            <w:r w:rsidRPr="006C1718">
              <w:t xml:space="preserve">Normale behandlingstider for kundehenvendelse som medfører </w:t>
            </w:r>
            <w:r>
              <w:t xml:space="preserve">kun </w:t>
            </w:r>
            <w:r w:rsidRPr="006C1718">
              <w:t xml:space="preserve">nettutbygging </w:t>
            </w:r>
            <w:r>
              <w:t xml:space="preserve">i </w:t>
            </w:r>
            <w:r w:rsidRPr="008B3A20">
              <w:rPr>
                <w:b/>
                <w:bCs/>
              </w:rPr>
              <w:t>distribusjonsnettet</w:t>
            </w:r>
          </w:p>
          <w:p w:rsidR="007B5F12" w:rsidRPr="008D745C" w:rsidP="00BF2EC2" w14:paraId="59B6DFD0" w14:textId="77777777">
            <w:pPr>
              <w:rPr>
                <w:sz w:val="20"/>
                <w:szCs w:val="20"/>
              </w:rPr>
            </w:pPr>
            <w:r>
              <w:t>(</w:t>
            </w:r>
            <w:r w:rsidRPr="006C1718">
              <w:t>tilknytning kunde med samlet kapasitet under 1 MW</w:t>
            </w:r>
            <w:r>
              <w:t>)</w:t>
            </w:r>
          </w:p>
        </w:tc>
      </w:tr>
      <w:tr w14:paraId="4B7B0A67" w14:textId="77777777" w:rsidTr="00BF2EC2">
        <w:tblPrEx>
          <w:tblW w:w="0" w:type="auto"/>
          <w:tblInd w:w="-5" w:type="dxa"/>
          <w:tblLook w:val="04A0"/>
        </w:tblPrEx>
        <w:trPr>
          <w:trHeight w:val="843"/>
        </w:trPr>
        <w:tc>
          <w:tcPr>
            <w:tcW w:w="2410" w:type="dxa"/>
            <w:vAlign w:val="center"/>
          </w:tcPr>
          <w:p w:rsidR="007B5F12" w:rsidRPr="008D745C" w:rsidP="00BF2EC2" w14:paraId="5BB9136B" w14:textId="77777777">
            <w:pPr>
              <w:rPr>
                <w:sz w:val="18"/>
                <w:szCs w:val="18"/>
              </w:rPr>
            </w:pPr>
            <w:r w:rsidRPr="40A477BA">
              <w:rPr>
                <w:sz w:val="20"/>
                <w:szCs w:val="20"/>
              </w:rPr>
              <w:t>Svar på kundehenvendelse</w:t>
            </w:r>
          </w:p>
        </w:tc>
        <w:tc>
          <w:tcPr>
            <w:tcW w:w="1134" w:type="dxa"/>
            <w:vAlign w:val="center"/>
          </w:tcPr>
          <w:p w:rsidR="007B5F12" w:rsidRPr="008D745C" w:rsidP="00BF2EC2" w14:paraId="662AD95E" w14:textId="77777777">
            <w:pPr>
              <w:rPr>
                <w:sz w:val="18"/>
                <w:szCs w:val="18"/>
              </w:rPr>
            </w:pPr>
            <w:r w:rsidRPr="40A477BA">
              <w:rPr>
                <w:sz w:val="20"/>
                <w:szCs w:val="20"/>
              </w:rPr>
              <w:t>Opptil 2 uker</w:t>
            </w:r>
          </w:p>
        </w:tc>
        <w:tc>
          <w:tcPr>
            <w:tcW w:w="6912" w:type="dxa"/>
            <w:vAlign w:val="center"/>
          </w:tcPr>
          <w:p w:rsidR="007B5F12" w:rsidRPr="008D745C" w:rsidP="00BF2EC2" w14:paraId="14E1E1C3" w14:textId="77777777">
            <w:pPr>
              <w:rPr>
                <w:sz w:val="18"/>
                <w:szCs w:val="18"/>
              </w:rPr>
            </w:pPr>
            <w:r w:rsidRPr="40A477BA">
              <w:rPr>
                <w:sz w:val="20"/>
                <w:szCs w:val="20"/>
              </w:rPr>
              <w:t>Bekreftelse på mottatt henvendelse</w:t>
            </w:r>
          </w:p>
          <w:p w:rsidR="007B5F12" w:rsidRPr="008D745C" w:rsidP="00BF2EC2" w14:paraId="389EBDEC" w14:textId="77777777">
            <w:pPr>
              <w:rPr>
                <w:sz w:val="18"/>
                <w:szCs w:val="18"/>
              </w:rPr>
            </w:pPr>
            <w:r w:rsidRPr="40A477BA">
              <w:rPr>
                <w:sz w:val="20"/>
                <w:szCs w:val="20"/>
              </w:rPr>
              <w:t xml:space="preserve">Informasjon om videre </w:t>
            </w:r>
            <w:r w:rsidRPr="40A477BA">
              <w:rPr>
                <w:sz w:val="20"/>
                <w:szCs w:val="20"/>
              </w:rPr>
              <w:t>Prosess</w:t>
            </w:r>
          </w:p>
          <w:p w:rsidR="007B5F12" w:rsidRPr="008D745C" w:rsidP="00BF2EC2" w14:paraId="3CE8D689" w14:textId="77777777">
            <w:pPr>
              <w:rPr>
                <w:sz w:val="18"/>
                <w:szCs w:val="18"/>
              </w:rPr>
            </w:pPr>
            <w:r w:rsidRPr="40A477BA">
              <w:rPr>
                <w:sz w:val="20"/>
                <w:szCs w:val="20"/>
              </w:rPr>
              <w:t>Estimat på kostnad for Anleggsbidrag</w:t>
            </w:r>
          </w:p>
        </w:tc>
      </w:tr>
      <w:tr w14:paraId="388AD1E8" w14:textId="77777777" w:rsidTr="00BF2EC2">
        <w:tblPrEx>
          <w:tblW w:w="0" w:type="auto"/>
          <w:tblInd w:w="-5" w:type="dxa"/>
          <w:tblLook w:val="04A0"/>
        </w:tblPrEx>
        <w:trPr>
          <w:trHeight w:val="557"/>
        </w:trPr>
        <w:tc>
          <w:tcPr>
            <w:tcW w:w="2410" w:type="dxa"/>
            <w:vAlign w:val="center"/>
          </w:tcPr>
          <w:p w:rsidR="007B5F12" w:rsidP="00BF2EC2" w14:paraId="4A4AF9F1" w14:textId="77777777">
            <w:pPr>
              <w:rPr>
                <w:sz w:val="18"/>
                <w:szCs w:val="18"/>
              </w:rPr>
            </w:pPr>
            <w:r>
              <w:rPr>
                <w:sz w:val="20"/>
                <w:szCs w:val="20"/>
              </w:rPr>
              <w:t>Omfangsavklaring</w:t>
            </w:r>
          </w:p>
          <w:p w:rsidR="007B5F12" w:rsidRPr="008D745C" w:rsidP="00BF2EC2" w14:paraId="39637B4D" w14:textId="77777777">
            <w:pPr>
              <w:rPr>
                <w:sz w:val="18"/>
                <w:szCs w:val="18"/>
              </w:rPr>
            </w:pPr>
          </w:p>
        </w:tc>
        <w:tc>
          <w:tcPr>
            <w:tcW w:w="1134" w:type="dxa"/>
            <w:vAlign w:val="center"/>
          </w:tcPr>
          <w:p w:rsidR="007B5F12" w:rsidRPr="008D745C" w:rsidP="00BF2EC2" w14:paraId="387E1044" w14:textId="77777777">
            <w:pPr>
              <w:rPr>
                <w:sz w:val="18"/>
                <w:szCs w:val="18"/>
              </w:rPr>
            </w:pPr>
            <w:r w:rsidRPr="40A477BA">
              <w:rPr>
                <w:sz w:val="20"/>
                <w:szCs w:val="20"/>
              </w:rPr>
              <w:t>Opptil 4 måneder</w:t>
            </w:r>
          </w:p>
        </w:tc>
        <w:tc>
          <w:tcPr>
            <w:tcW w:w="6912" w:type="dxa"/>
            <w:vAlign w:val="center"/>
          </w:tcPr>
          <w:p w:rsidR="007B5F12" w:rsidRPr="008D745C" w:rsidP="00BF2EC2" w14:paraId="5742CBA1" w14:textId="77777777">
            <w:pPr>
              <w:rPr>
                <w:sz w:val="18"/>
                <w:szCs w:val="18"/>
              </w:rPr>
            </w:pPr>
            <w:r w:rsidRPr="40A477BA">
              <w:rPr>
                <w:sz w:val="20"/>
                <w:szCs w:val="20"/>
              </w:rPr>
              <w:t>I mange tilfeller avhengig av respons fra den aktuelle kunden, samt berørte 3.parter (eks befaring med/forhåndsaksept fra Grunneiere)</w:t>
            </w:r>
          </w:p>
        </w:tc>
      </w:tr>
      <w:tr w14:paraId="4CBA594E" w14:textId="77777777" w:rsidTr="00BF2EC2">
        <w:tblPrEx>
          <w:tblW w:w="0" w:type="auto"/>
          <w:tblInd w:w="-5" w:type="dxa"/>
          <w:tblLook w:val="04A0"/>
        </w:tblPrEx>
        <w:trPr>
          <w:trHeight w:val="835"/>
        </w:trPr>
        <w:tc>
          <w:tcPr>
            <w:tcW w:w="2410" w:type="dxa"/>
            <w:vAlign w:val="center"/>
          </w:tcPr>
          <w:p w:rsidR="007B5F12" w:rsidRPr="008D745C" w:rsidP="00BF2EC2" w14:paraId="40A372C5" w14:textId="77777777">
            <w:pPr>
              <w:rPr>
                <w:sz w:val="18"/>
                <w:szCs w:val="18"/>
              </w:rPr>
            </w:pPr>
            <w:r w:rsidRPr="40A477BA">
              <w:rPr>
                <w:sz w:val="20"/>
                <w:szCs w:val="20"/>
              </w:rPr>
              <w:t>Start utførelse etter signert avtale</w:t>
            </w:r>
          </w:p>
        </w:tc>
        <w:tc>
          <w:tcPr>
            <w:tcW w:w="1134" w:type="dxa"/>
            <w:vAlign w:val="center"/>
          </w:tcPr>
          <w:p w:rsidR="007B5F12" w:rsidRPr="008D745C" w:rsidP="00BF2EC2" w14:paraId="5976BFF7" w14:textId="77777777">
            <w:pPr>
              <w:rPr>
                <w:sz w:val="18"/>
                <w:szCs w:val="18"/>
              </w:rPr>
            </w:pPr>
            <w:r w:rsidRPr="40A477BA">
              <w:rPr>
                <w:sz w:val="20"/>
                <w:szCs w:val="20"/>
              </w:rPr>
              <w:t>Opptil 6 måneder</w:t>
            </w:r>
          </w:p>
        </w:tc>
        <w:tc>
          <w:tcPr>
            <w:tcW w:w="6912" w:type="dxa"/>
            <w:vAlign w:val="center"/>
          </w:tcPr>
          <w:p w:rsidR="007B5F12" w:rsidRPr="008D745C" w:rsidP="00BF2EC2" w14:paraId="3BAF3CC0" w14:textId="77777777">
            <w:pPr>
              <w:rPr>
                <w:sz w:val="18"/>
                <w:szCs w:val="18"/>
              </w:rPr>
            </w:pPr>
            <w:r w:rsidRPr="40A477BA">
              <w:rPr>
                <w:sz w:val="20"/>
                <w:szCs w:val="20"/>
              </w:rPr>
              <w:t>Avhengig av materialløsninger (bestillingstid på kapitalvarer), årstid, tillatelser fra berørte grunneiere samt eventuelle unntakstilstander i nettet</w:t>
            </w:r>
          </w:p>
        </w:tc>
      </w:tr>
      <w:tr w14:paraId="532D941C" w14:textId="77777777" w:rsidTr="00BF2EC2">
        <w:tblPrEx>
          <w:tblW w:w="0" w:type="auto"/>
          <w:tblInd w:w="-5" w:type="dxa"/>
          <w:tblLook w:val="04A0"/>
        </w:tblPrEx>
        <w:trPr>
          <w:trHeight w:val="482"/>
        </w:trPr>
        <w:tc>
          <w:tcPr>
            <w:tcW w:w="10456" w:type="dxa"/>
            <w:gridSpan w:val="3"/>
            <w:vAlign w:val="center"/>
          </w:tcPr>
          <w:p w:rsidR="007B5F12" w:rsidRPr="008D745C" w:rsidP="00BF2EC2" w14:paraId="2400F116" w14:textId="77777777">
            <w:pPr>
              <w:rPr>
                <w:sz w:val="18"/>
                <w:szCs w:val="18"/>
              </w:rPr>
            </w:pPr>
            <w:r w:rsidRPr="40A477BA">
              <w:rPr>
                <w:sz w:val="20"/>
                <w:szCs w:val="20"/>
              </w:rPr>
              <w:t xml:space="preserve">NB! Henvendelser fra installatør via installasjonsmelding i Elsmart har normalt </w:t>
            </w:r>
            <w:r w:rsidRPr="40A477BA">
              <w:rPr>
                <w:sz w:val="20"/>
                <w:szCs w:val="20"/>
              </w:rPr>
              <w:t>kortere behandlingstider såfremt nettilknytningen kan skje på en driftsmessig forsvarlig måte uten ytterligere investeringer i fordelingsnettet.</w:t>
            </w:r>
          </w:p>
        </w:tc>
      </w:tr>
    </w:tbl>
    <w:p w:rsidR="007B5F12" w:rsidRPr="008D745C" w:rsidP="007B5F12" w14:paraId="1697DC14" w14:textId="77777777">
      <w:pPr>
        <w:rPr>
          <w:sz w:val="18"/>
          <w:szCs w:val="18"/>
        </w:rPr>
      </w:pPr>
      <w:r w:rsidRPr="008D745C">
        <w:t xml:space="preserve"> </w:t>
      </w:r>
    </w:p>
    <w:p w:rsidR="007B5F12" w:rsidP="007B5F12" w14:paraId="5AE29FF0" w14:textId="77777777">
      <w:r w:rsidRPr="008D745C">
        <w:t xml:space="preserve">Lengre behandlingstider skal varsles, og begrunnes, skriftlig ovenfor kunden i hvert enkelt tilfelle. </w:t>
      </w:r>
    </w:p>
    <w:p w:rsidR="007B5F12" w:rsidRPr="008D745C" w:rsidP="007B5F12" w14:paraId="431EAEA0" w14:textId="77777777"/>
    <w:p w:rsidR="007B5F12" w:rsidP="003A38C1" w14:paraId="0B1E144F" w14:textId="77777777">
      <w:pPr>
        <w:pStyle w:val="Heading2"/>
      </w:pPr>
      <w:bookmarkStart w:id="17" w:name="_Toc130389729"/>
      <w:bookmarkStart w:id="18" w:name="_Toc130390049"/>
      <w:bookmarkStart w:id="19" w:name="_Toc130984369"/>
      <w:bookmarkEnd w:id="17"/>
      <w:bookmarkEnd w:id="18"/>
      <w:bookmarkStart w:id="20" w:name="_Toc256000008"/>
      <w:r>
        <w:t>Informasjon om anleggsbidraget i regional- og transmisjonsnett</w:t>
      </w:r>
      <w:bookmarkEnd w:id="19"/>
      <w:r>
        <w:t>et (tilknytning med samlet kapasitet over 1 MW)</w:t>
      </w:r>
      <w:bookmarkEnd w:id="20"/>
    </w:p>
    <w:p w:rsidR="007B5F12" w:rsidP="007B5F12" w14:paraId="1BFDC88F" w14:textId="77777777">
      <w:pPr>
        <w:keepNext/>
        <w:keepLines/>
      </w:pPr>
      <w:r>
        <w:t xml:space="preserve">Anleggsbidrag skal </w:t>
      </w:r>
      <w:r w:rsidRPr="009B6FFD">
        <w:t>beregne</w:t>
      </w:r>
      <w:r>
        <w:t>s</w:t>
      </w:r>
      <w:r w:rsidRPr="009B6FFD">
        <w:t xml:space="preserve"> og innkreve</w:t>
      </w:r>
      <w:r>
        <w:t xml:space="preserve">s </w:t>
      </w:r>
      <w:r w:rsidRPr="009B6FFD">
        <w:t>for alle nettnivåer, også i regional- og transmisjonsnett</w:t>
      </w:r>
      <w:r>
        <w:t>.</w:t>
      </w:r>
    </w:p>
    <w:p w:rsidR="007B5F12" w:rsidP="007B5F12" w14:paraId="7203CFB7" w14:textId="77777777"/>
    <w:p w:rsidR="007B5F12" w:rsidP="007B5F12" w14:paraId="1744A169" w14:textId="77777777">
      <w:r>
        <w:t>Kunden behøver normalt kun å forholde seg til Tensio (nettselskapet som kunden er tilknyttet eller skal tilknyttes). Tensio formidler kundens forespørsel til regional- og transmisjonsnett, og videreformidler svarene på forespørsel tilbake til kunden.</w:t>
      </w:r>
    </w:p>
    <w:p w:rsidR="007B5F12" w:rsidP="007B5F12" w14:paraId="3EF0EB6C" w14:textId="77777777"/>
    <w:p w:rsidR="007B5F12" w:rsidRPr="008D745C" w:rsidP="007B5F12" w14:paraId="3B846381" w14:textId="77777777">
      <w:r w:rsidRPr="008D745C">
        <w:t xml:space="preserve">Det er vanligvis eier av distribusjonsnettet som kommuniserer estimert anleggsbidrag til sluttbruker/kunde, men det vil være eier av overliggende nett som fakturerer sitt anleggsbidrag til sluttbruker/kunde. </w:t>
      </w:r>
    </w:p>
    <w:p w:rsidR="007B5F12" w:rsidP="007B5F12" w14:paraId="60EA1A76" w14:textId="77777777"/>
    <w:p w:rsidR="007B5F12" w:rsidRPr="008D745C" w:rsidP="007B5F12" w14:paraId="10060F77" w14:textId="77777777">
      <w:r>
        <w:t xml:space="preserve">Saksgang med ordinære behandlingstider er beskrevet på Tensio TS sin nettside. Der det blir lengre behandlingstid varsles kunden på saken.  </w:t>
      </w:r>
      <w:bookmarkStart w:id="21" w:name="_Toc130389731"/>
      <w:bookmarkStart w:id="22" w:name="_Toc130390051"/>
      <w:bookmarkEnd w:id="21"/>
      <w:bookmarkEnd w:id="22"/>
      <w:r w:rsidRPr="008D745C">
        <w:t xml:space="preserve"> </w:t>
      </w:r>
    </w:p>
    <w:p w:rsidR="007B5F12" w:rsidP="007B5F12" w14:paraId="538BFF9A" w14:textId="77777777"/>
    <w:p w:rsidR="007B5F12" w:rsidRPr="004B56A4" w:rsidP="003A38C1" w14:paraId="3CD999B4" w14:textId="77777777">
      <w:pPr>
        <w:pStyle w:val="Heading2"/>
      </w:pPr>
      <w:bookmarkStart w:id="23" w:name="_Toc256000009"/>
      <w:r w:rsidRPr="004B56A4">
        <w:t xml:space="preserve">Informasjon om betaling for nettutredninger i </w:t>
      </w:r>
      <w:r>
        <w:t>regional- og transmisjonsnettet</w:t>
      </w:r>
      <w:bookmarkEnd w:id="23"/>
    </w:p>
    <w:p w:rsidR="007B5F12" w:rsidP="007B5F12" w14:paraId="02EA514E" w14:textId="77777777">
      <w:r>
        <w:t>«Forskrift om kontroll av nettvirksomhet»</w:t>
      </w:r>
      <w:r>
        <w:rPr>
          <w:rStyle w:val="FootnoteReference"/>
          <w:rFonts w:eastAsiaTheme="minorHAnsi"/>
        </w:rPr>
        <w:footnoteReference w:id="2"/>
      </w:r>
      <w:r>
        <w:t xml:space="preserve">  </w:t>
      </w:r>
      <w:r w:rsidRPr="005144BF">
        <w:rPr>
          <w:rFonts w:eastAsia="Calibri"/>
        </w:rPr>
        <w:t>§ 17</w:t>
      </w:r>
      <w:r>
        <w:rPr>
          <w:rFonts w:eastAsia="Calibri"/>
        </w:rPr>
        <w:t>.</w:t>
      </w:r>
      <w:r w:rsidRPr="005144BF">
        <w:rPr>
          <w:rFonts w:eastAsia="Calibri"/>
        </w:rPr>
        <w:t>5</w:t>
      </w:r>
      <w:r>
        <w:t xml:space="preserve"> beskriver hvordan kundens betaling av nettutredninger i regionalnettet skal fastsettes.  Anvendes når en kunde kommer med en forespørsel som utløser et anleggsbidrag i regionalnettet. Ved</w:t>
      </w:r>
      <w:r w:rsidRPr="00C7125D">
        <w:t xml:space="preserve"> uenighet om betaling for nettutredninger kan</w:t>
      </w:r>
      <w:r>
        <w:t xml:space="preserve"> saken</w:t>
      </w:r>
      <w:r w:rsidRPr="00C7125D">
        <w:t xml:space="preserve"> bringes inn for </w:t>
      </w:r>
      <w:r>
        <w:t xml:space="preserve">Reguleringsmyndigheten for Energi (NVE-RME). </w:t>
      </w:r>
    </w:p>
    <w:p w:rsidR="007B5F12" w:rsidP="007B5F12" w14:paraId="723DD8AD" w14:textId="77777777">
      <w:r>
        <w:t xml:space="preserve"> </w:t>
      </w:r>
    </w:p>
    <w:p w:rsidR="007B5F12" w:rsidP="007B5F12" w14:paraId="49AE5FA8" w14:textId="77777777">
      <w:r>
        <w:t>I henhold til forskriften skal N</w:t>
      </w:r>
      <w:r w:rsidRPr="00C7125D">
        <w:t>ettselskapet vederlagsfritt avklare om det er driftsmessig forsvarlig å etterkomme kundens bestilling, når effektbehov og lokalisering er rimelig avklart.</w:t>
      </w:r>
      <w:r>
        <w:t xml:space="preserve"> Nettselskapet kan ta betalt for innledende nettanalyser avhengig av hvor godt prosjektet er avklart i forkant. </w:t>
      </w:r>
      <w:r w:rsidRPr="00C7125D">
        <w:t xml:space="preserve">Nettselskapet skal ta betalt fra kunden for videre utredninger og utarbeidelse av konsesjonssøknad. </w:t>
      </w:r>
      <w:r>
        <w:t xml:space="preserve">Betalingen fastsettes på grunnlag av faktisk medgåtte kostnader. </w:t>
      </w:r>
      <w:r w:rsidRPr="00C7125D">
        <w:t>Kunden skal dekke en forholdsmessig andel av kostnadene. Kostnadene skal være bas</w:t>
      </w:r>
      <w:r w:rsidRPr="00C7125D">
        <w:t>ert på selvkost</w:t>
      </w:r>
      <w:r>
        <w:t>. Nettselskapet dokumenterer prosessen for forespørsel som utløser betaling for nettutredning. Dokumentasjonen oppbevares i 10 år, herunder dokumenteres:</w:t>
      </w:r>
    </w:p>
    <w:p w:rsidR="007B5F12" w:rsidP="007B5F12" w14:paraId="419895B6" w14:textId="77777777"/>
    <w:p w:rsidR="007B5F12" w:rsidP="007B5F12" w14:paraId="15B42D41" w14:textId="77777777">
      <w:pPr>
        <w:pStyle w:val="ListParagraph"/>
        <w:numPr>
          <w:ilvl w:val="0"/>
          <w:numId w:val="40"/>
        </w:numPr>
        <w:spacing w:after="160" w:line="259" w:lineRule="auto"/>
      </w:pPr>
      <w:r>
        <w:t xml:space="preserve">Kundens forespørsel </w:t>
      </w:r>
    </w:p>
    <w:p w:rsidR="007B5F12" w:rsidP="007B5F12" w14:paraId="3C38CAB0" w14:textId="77777777">
      <w:pPr>
        <w:pStyle w:val="ListParagraph"/>
        <w:numPr>
          <w:ilvl w:val="0"/>
          <w:numId w:val="40"/>
        </w:numPr>
        <w:spacing w:after="160" w:line="259" w:lineRule="auto"/>
      </w:pPr>
      <w:r>
        <w:t xml:space="preserve">Nettselskapets tilbud til kunden </w:t>
      </w:r>
    </w:p>
    <w:p w:rsidR="007B5F12" w:rsidP="007B5F12" w14:paraId="69C4A4FE" w14:textId="77777777">
      <w:pPr>
        <w:pStyle w:val="ListParagraph"/>
        <w:numPr>
          <w:ilvl w:val="0"/>
          <w:numId w:val="40"/>
        </w:numPr>
        <w:spacing w:after="160" w:line="259" w:lineRule="auto"/>
      </w:pPr>
      <w:r>
        <w:t>Kundens aksept av tilbudet</w:t>
      </w:r>
    </w:p>
    <w:p w:rsidR="007B5F12" w:rsidP="007B5F12" w14:paraId="37FA830F" w14:textId="77777777">
      <w:pPr>
        <w:pStyle w:val="ListParagraph"/>
        <w:numPr>
          <w:ilvl w:val="0"/>
          <w:numId w:val="40"/>
        </w:numPr>
        <w:spacing w:after="160" w:line="259" w:lineRule="auto"/>
      </w:pPr>
      <w:r>
        <w:t>Avtalte endringer</w:t>
      </w:r>
    </w:p>
    <w:p w:rsidR="007B5F12" w:rsidRPr="007A288B" w:rsidP="007B5F12" w14:paraId="2082A7AC" w14:textId="77777777">
      <w:r>
        <w:t>I tilbudet til kunden spesifiseres det hva som skal utredes, betalingsvilkår, og kundens antatte forholdsmessige andel av utredningskostnaden. Tilbudet kan også beskrive vilkår for når kunden har mulighet til å reservere kapasiteten.</w:t>
      </w:r>
    </w:p>
    <w:p w:rsidR="007B5F12" w:rsidP="007B5F12" w14:paraId="4F67476D" w14:textId="77777777">
      <w:r>
        <w:t>Dersom kunden etter endt utredning velger å gjøre Avtale om Nettutbygging, inkluderes utredningskostnadene i kostnadsgrunnlaget til anleggsbidraget. Kunden kan maksimalt betale kostnadsgrunnlaget minus utredningskostnaden som kunden har betalt tidligere.</w:t>
      </w:r>
    </w:p>
    <w:p w:rsidR="007B5F12" w:rsidP="007B5F12" w14:paraId="482C078D" w14:textId="77777777">
      <w:r>
        <w:t>Velger kunde å ikke gjøre avtale om nettutbygging eller kansellerer bestilling, faktureres kunden for alle de påløpte kostnadene.</w:t>
      </w:r>
    </w:p>
    <w:p w:rsidR="007B5F12" w:rsidRPr="00A165E4" w:rsidP="007B5F12" w14:paraId="5C2A75BA" w14:textId="77777777"/>
    <w:p w:rsidR="007B5F12" w:rsidP="007B5F12" w14:paraId="63F341AD" w14:textId="77777777"/>
    <w:p w:rsidR="007B5F12" w:rsidRPr="008D745C" w:rsidP="003A38C1" w14:paraId="062B7347" w14:textId="47A9BCE2">
      <w:pPr>
        <w:pStyle w:val="Heading2"/>
      </w:pPr>
      <w:bookmarkStart w:id="24" w:name="_Toc130984371"/>
      <w:bookmarkStart w:id="25" w:name="_Toc256000010"/>
      <w:r>
        <w:t xml:space="preserve">Tilbud til kunde med estimert anleggsbidrag </w:t>
      </w:r>
      <w:r w:rsidR="00900864">
        <w:t>(</w:t>
      </w:r>
      <w:bookmarkEnd w:id="24"/>
      <w:r w:rsidR="00900864">
        <w:t>Avtale om Nettutbygging)</w:t>
      </w:r>
      <w:bookmarkEnd w:id="25"/>
    </w:p>
    <w:p w:rsidR="007B5F12" w:rsidRPr="00582424" w:rsidP="007B5F12" w14:paraId="4BF20DB6" w14:textId="77777777">
      <w:r>
        <w:t xml:space="preserve">Når partene er enige om omfang av Tensio TS sine investeringer for å imøtekomme kundens effektbestilling, skal det signeres </w:t>
      </w:r>
      <w:r w:rsidRPr="40A477BA">
        <w:rPr>
          <w:b/>
          <w:bCs/>
        </w:rPr>
        <w:t>nettutbyggingsavtale</w:t>
      </w:r>
      <w:r>
        <w:t>.</w:t>
      </w:r>
    </w:p>
    <w:p w:rsidR="007B5F12" w:rsidRPr="008D745C" w:rsidP="007B5F12" w14:paraId="2004CB52" w14:textId="77777777">
      <w:r w:rsidRPr="008D745C">
        <w:t xml:space="preserve">  </w:t>
      </w:r>
    </w:p>
    <w:p w:rsidR="007B5F12" w:rsidRPr="008D745C" w:rsidP="007B5F12" w14:paraId="72F8D836" w14:textId="77777777">
      <w:r w:rsidRPr="008D745C">
        <w:t>Nettutbyggingsavtalen spesifisere</w:t>
      </w:r>
      <w:r>
        <w:t>r:</w:t>
      </w:r>
      <w:r w:rsidRPr="008D745C">
        <w:t xml:space="preserve"> omfanget av nettanlegget, kroneverdi på estimert anleggsbidrag (kundens andel av kostnadsgrunnlaget), hvorvidt anleggsbidraget skal forhåndsbetales i sin helhet, og hvordan/når etterberegning av anleggsbidraget skal foregå. </w:t>
      </w:r>
    </w:p>
    <w:p w:rsidR="007B5F12" w:rsidRPr="008D745C" w:rsidP="007B5F12" w14:paraId="4F8B7E23" w14:textId="77777777"/>
    <w:p w:rsidR="007B5F12" w:rsidRPr="008D745C" w:rsidP="007B5F12" w14:paraId="3572DB8F" w14:textId="77777777">
      <w:r w:rsidRPr="004732B0">
        <w:t xml:space="preserve">Nettutbyggingsavtalen beskriver også hvem som kan utføre gravearbeider, hvem som er byggherre samt eierforhold til det ferdige nettanlegget. </w:t>
      </w:r>
    </w:p>
    <w:p w:rsidR="007B5F12" w:rsidRPr="004732B0" w:rsidP="007B5F12" w14:paraId="125DC46F" w14:textId="77777777"/>
    <w:p w:rsidR="007B5F12" w:rsidRPr="008D745C" w:rsidP="003A38C1" w14:paraId="324594BE" w14:textId="77777777">
      <w:pPr>
        <w:pStyle w:val="Heading2"/>
      </w:pPr>
      <w:bookmarkStart w:id="26" w:name="_Toc130984372"/>
      <w:bookmarkStart w:id="27" w:name="_Toc256000011"/>
      <w:r w:rsidRPr="008D745C">
        <w:t>Kundens aksept</w:t>
      </w:r>
      <w:bookmarkEnd w:id="27"/>
      <w:bookmarkEnd w:id="26"/>
      <w:r w:rsidRPr="008D745C">
        <w:t xml:space="preserve"> </w:t>
      </w:r>
    </w:p>
    <w:p w:rsidR="007B5F12" w:rsidRPr="008D745C" w:rsidP="007B5F12" w14:paraId="3267FC44" w14:textId="77777777">
      <w:r w:rsidRPr="008D745C">
        <w:t>Kundens aksept skjer ved at kunden signerer Nettutbyggingsavtalen innen akseptfristen angitt i avtalen. Akseptfristen er normalt 30 dager fra kunden har mottatt avtalen. Kunden kan be om å få forlenget frist.</w:t>
      </w:r>
    </w:p>
    <w:p w:rsidR="007B5F12" w:rsidP="007B5F12" w14:paraId="5A457BDE" w14:textId="77777777">
      <w:r w:rsidRPr="008D745C">
        <w:t>Dersom avtalen ikke er signert og returnert innen fristen</w:t>
      </w:r>
      <w:r>
        <w:t>,</w:t>
      </w:r>
      <w:r w:rsidRPr="008D745C">
        <w:t xml:space="preserve"> forbeholder Tensio seg retten til å utstede ny avtale med endrede betingelser for økonomi, partenes ansvarsforhold og fremdrift. </w:t>
      </w:r>
    </w:p>
    <w:p w:rsidR="007B5F12" w:rsidRPr="008D745C" w:rsidP="007B5F12" w14:paraId="36ADD235" w14:textId="77777777"/>
    <w:p w:rsidR="007B5F12" w:rsidRPr="008D745C" w:rsidP="007B5F12" w14:paraId="45661DEF" w14:textId="77777777">
      <w:r w:rsidRPr="008D745C">
        <w:t xml:space="preserve">Dersom kunden ikke aksepterer eller </w:t>
      </w:r>
      <w:r w:rsidRPr="008D745C">
        <w:t>kansellere</w:t>
      </w:r>
      <w:r>
        <w:t>r</w:t>
      </w:r>
      <w:r w:rsidRPr="008D745C">
        <w:t xml:space="preserve"> anleggsbidraget (skrinlegger nettutbyggingsavtalen) vil de påløpte kostnadene faktureres som ett tjenesteoppdrag.</w:t>
      </w:r>
    </w:p>
    <w:p w:rsidR="007B5F12" w:rsidRPr="008D745C" w:rsidP="007B5F12" w14:paraId="79973C20" w14:textId="77777777"/>
    <w:p w:rsidR="007B5F12" w:rsidRPr="008D745C" w:rsidP="003A38C1" w14:paraId="39EAA3D1" w14:textId="77777777">
      <w:pPr>
        <w:pStyle w:val="Heading2"/>
      </w:pPr>
      <w:bookmarkStart w:id="28" w:name="_Toc130984373"/>
      <w:bookmarkStart w:id="29" w:name="_Toc256000012"/>
      <w:r>
        <w:t>Fakturering</w:t>
      </w:r>
      <w:bookmarkEnd w:id="29"/>
      <w:bookmarkEnd w:id="28"/>
    </w:p>
    <w:p w:rsidR="007B5F12" w:rsidRPr="008D745C" w:rsidP="007B5F12" w14:paraId="799B5D11" w14:textId="13CE8EE8">
      <w:r w:rsidRPr="008D745C">
        <w:t xml:space="preserve">Normalt faktureres anleggsbidraget i sin helhet før Tensio TS starter med detaljprosjektering av det avtalte </w:t>
      </w:r>
      <w:r w:rsidRPr="008D745C">
        <w:t>nettanlegget, men</w:t>
      </w:r>
      <w:r>
        <w:t xml:space="preserve"> </w:t>
      </w:r>
      <w:r w:rsidRPr="008D745C">
        <w:t>Tensio TS</w:t>
      </w:r>
      <w:r>
        <w:t xml:space="preserve"> vil</w:t>
      </w:r>
      <w:r w:rsidRPr="008D745C">
        <w:t xml:space="preserve"> kunne sette opp en betalingsplan for anleggsbidrag i prosjekter med stort omfang og lang varighet.  Normalt kan dette inntreffe når det fordelte kostnadsgrunnlaget (KG) overstiger NOK 1.000.000,- per kunde, og når gjennomføringstiden - fra nettutbyggingsavtale signeres til anleggsbidrag kan etterberegnes - overstiger </w:t>
      </w:r>
      <w:r>
        <w:t>1 år.</w:t>
      </w:r>
    </w:p>
    <w:p w:rsidR="007B5F12" w:rsidRPr="008D745C" w:rsidP="007B5F12" w14:paraId="584E54B4" w14:textId="77777777"/>
    <w:p w:rsidR="007B5F12" w:rsidRPr="008D745C" w:rsidP="003A38C1" w14:paraId="50145D39" w14:textId="77777777">
      <w:pPr>
        <w:pStyle w:val="Heading2"/>
      </w:pPr>
      <w:bookmarkStart w:id="30" w:name="_Toc130389737"/>
      <w:bookmarkStart w:id="31" w:name="_Toc130390057"/>
      <w:bookmarkStart w:id="32" w:name="_Toc130389738"/>
      <w:bookmarkStart w:id="33" w:name="_Toc130390058"/>
      <w:bookmarkStart w:id="34" w:name="_Toc130984374"/>
      <w:bookmarkEnd w:id="30"/>
      <w:bookmarkEnd w:id="31"/>
      <w:bookmarkEnd w:id="32"/>
      <w:bookmarkEnd w:id="33"/>
      <w:bookmarkStart w:id="35" w:name="_Toc256000013"/>
      <w:r w:rsidRPr="008D745C">
        <w:t>Oppstart/gjennomføring av nettinvesteringer</w:t>
      </w:r>
      <w:bookmarkEnd w:id="35"/>
      <w:bookmarkEnd w:id="34"/>
      <w:r w:rsidRPr="008D745C">
        <w:t xml:space="preserve"> </w:t>
      </w:r>
    </w:p>
    <w:p w:rsidR="007B5F12" w:rsidP="007B5F12" w14:paraId="384939C3" w14:textId="77777777">
      <w:r w:rsidRPr="008D745C">
        <w:t xml:space="preserve">Etter at nettutbyggingsavtalen er signert og kunden har akseptert vil Tensio TS iverksette detaljprosjektering og utførelse av avtalte nettinvesteringer. </w:t>
      </w:r>
    </w:p>
    <w:p w:rsidR="007B5F12" w:rsidP="007B5F12" w14:paraId="6C39B073" w14:textId="77777777"/>
    <w:p w:rsidR="007B5F12" w:rsidRPr="008D745C" w:rsidP="003A38C1" w14:paraId="7C3317F8" w14:textId="77777777">
      <w:pPr>
        <w:pStyle w:val="Heading2"/>
      </w:pPr>
      <w:bookmarkStart w:id="36" w:name="_Toc130984375"/>
      <w:bookmarkStart w:id="37" w:name="_Toc256000014"/>
      <w:r w:rsidRPr="008D745C">
        <w:t>Endringsvarsling</w:t>
      </w:r>
      <w:bookmarkEnd w:id="37"/>
      <w:bookmarkEnd w:id="36"/>
      <w:r w:rsidRPr="008D745C">
        <w:t xml:space="preserve"> </w:t>
      </w:r>
    </w:p>
    <w:p w:rsidR="007B5F12" w:rsidP="007B5F12" w14:paraId="4F2B9063" w14:textId="77777777">
      <w:r w:rsidRPr="008D745C">
        <w:t xml:space="preserve">Endringer som har påvirkning på anleggsbidraget skal varsles kunden uten unødig opphold. Varsling skal være skriftlig. </w:t>
      </w:r>
    </w:p>
    <w:p w:rsidR="007B5F12" w:rsidP="007B5F12" w14:paraId="554EF337" w14:textId="77777777"/>
    <w:p w:rsidR="007B5F12" w:rsidRPr="008D745C" w:rsidP="003A38C1" w14:paraId="50D5693C" w14:textId="77777777">
      <w:pPr>
        <w:pStyle w:val="Heading2"/>
      </w:pPr>
      <w:bookmarkStart w:id="38" w:name="_Toc130984376"/>
      <w:bookmarkStart w:id="39" w:name="_Toc256000015"/>
      <w:r w:rsidRPr="008D745C">
        <w:t>Sluttoppgjør</w:t>
      </w:r>
      <w:bookmarkEnd w:id="39"/>
      <w:bookmarkEnd w:id="38"/>
      <w:r w:rsidRPr="008D745C">
        <w:t xml:space="preserve"> </w:t>
      </w:r>
    </w:p>
    <w:p w:rsidR="007B5F12" w:rsidRPr="0007260C" w:rsidP="007B5F12" w14:paraId="2632FDFD" w14:textId="77777777">
      <w:pPr>
        <w:pStyle w:val="ListParagraph"/>
        <w:numPr>
          <w:ilvl w:val="0"/>
          <w:numId w:val="25"/>
        </w:numPr>
        <w:ind w:right="475"/>
      </w:pPr>
      <w:r w:rsidRPr="0007260C">
        <w:t>Anleggsbidraget skal etterberegne</w:t>
      </w:r>
      <w:r w:rsidRPr="008D745C">
        <w:t>s</w:t>
      </w:r>
      <w:r w:rsidRPr="0007260C">
        <w:t xml:space="preserve"> i forhold til nettutbyggingens faktiske kostnader </w:t>
      </w:r>
    </w:p>
    <w:p w:rsidR="007B5F12" w:rsidRPr="004732B0" w:rsidP="007B5F12" w14:paraId="0D468890" w14:textId="77777777">
      <w:pPr>
        <w:pStyle w:val="ListParagraph"/>
        <w:numPr>
          <w:ilvl w:val="0"/>
          <w:numId w:val="25"/>
        </w:numPr>
        <w:ind w:right="475"/>
      </w:pPr>
      <w:r w:rsidRPr="00911C5E">
        <w:t xml:space="preserve">Tensio TS kan maksimalt fakturere en differanse (merkostnad) på 15% av det estimerte anleggsbidraget i nettutbyggingsavtalen </w:t>
      </w:r>
    </w:p>
    <w:p w:rsidR="007B5F12" w:rsidRPr="00D72B7E" w:rsidP="007B5F12" w14:paraId="65F1B1E2" w14:textId="77777777">
      <w:pPr>
        <w:pStyle w:val="ListParagraph"/>
        <w:numPr>
          <w:ilvl w:val="0"/>
          <w:numId w:val="25"/>
        </w:numPr>
        <w:ind w:right="475"/>
      </w:pPr>
      <w:r w:rsidRPr="00D72B7E">
        <w:t xml:space="preserve">Endringer som skyldes forhold på kundens side er ikke omfattet av 15% regelen </w:t>
      </w:r>
    </w:p>
    <w:p w:rsidR="007B5F12" w:rsidRPr="00D72B7E" w:rsidP="007B5F12" w14:paraId="04422670" w14:textId="77777777">
      <w:pPr>
        <w:pStyle w:val="ListParagraph"/>
        <w:numPr>
          <w:ilvl w:val="0"/>
          <w:numId w:val="25"/>
        </w:numPr>
        <w:ind w:right="475"/>
      </w:pPr>
      <w:r w:rsidRPr="00D72B7E">
        <w:t xml:space="preserve">Tensio TS skal refundere kunden dersom de faktiske kostnadene er mindre enn estimert- og innbetalt anleggsbidrag. </w:t>
      </w:r>
    </w:p>
    <w:p w:rsidR="007B5F12" w:rsidRPr="008D745C" w:rsidP="007B5F12" w14:paraId="78C94969" w14:textId="77777777">
      <w:r w:rsidRPr="008D745C">
        <w:t xml:space="preserve"> </w:t>
      </w:r>
    </w:p>
    <w:p w:rsidR="007B5F12" w:rsidP="007B5F12" w14:paraId="5D124039" w14:textId="77777777">
      <w:r w:rsidRPr="008D745C">
        <w:t>Etterberegning skjer uten unødig opphold etter at nettanlegget som omfattes av avtalen er spenningssatt, alternativt når nettanlegget er ferdig etablert</w:t>
      </w:r>
      <w:r>
        <w:t>.</w:t>
      </w:r>
      <w:r w:rsidRPr="008D745C">
        <w:t xml:space="preserve"> </w:t>
      </w:r>
    </w:p>
    <w:p w:rsidR="007B5F12" w:rsidRPr="008D745C" w:rsidP="007B5F12" w14:paraId="2036A6F2" w14:textId="77777777"/>
    <w:p w:rsidR="007B5F12" w:rsidP="003A38C1" w14:paraId="6BAF5C64" w14:textId="77777777">
      <w:pPr>
        <w:pStyle w:val="Heading2"/>
      </w:pPr>
      <w:r w:rsidRPr="008D745C">
        <w:rPr>
          <w:rFonts w:asciiTheme="minorHAnsi" w:hAnsiTheme="minorHAnsi" w:cstheme="minorHAnsi"/>
          <w:sz w:val="18"/>
          <w:szCs w:val="18"/>
        </w:rPr>
        <w:t xml:space="preserve"> </w:t>
      </w:r>
      <w:bookmarkStart w:id="40" w:name="_Toc130984377"/>
      <w:bookmarkStart w:id="41" w:name="_Toc256000016"/>
      <w:r w:rsidRPr="008D745C">
        <w:t>Dokumentasjon</w:t>
      </w:r>
      <w:bookmarkEnd w:id="41"/>
      <w:bookmarkEnd w:id="40"/>
      <w:r w:rsidRPr="008D745C">
        <w:t xml:space="preserve"> </w:t>
      </w:r>
    </w:p>
    <w:p w:rsidR="007B5F12" w:rsidP="007B5F12" w14:paraId="4178574C" w14:textId="77777777">
      <w:r w:rsidRPr="008D745C">
        <w:t>Nettselskapet dokumentere</w:t>
      </w:r>
      <w:r>
        <w:t>r</w:t>
      </w:r>
      <w:r w:rsidRPr="008D745C">
        <w:t xml:space="preserve"> prosessen, fra kundens forespørsel frem til anleg</w:t>
      </w:r>
      <w:r>
        <w:t>g</w:t>
      </w:r>
      <w:r w:rsidRPr="008D745C">
        <w:t>sbidraget er etterberegnet og sluttført.  Dokumentasjonen oppbevares i 10 år fra anlegget er spenningssatt.</w:t>
      </w:r>
    </w:p>
    <w:p w:rsidR="007B5F12" w:rsidRPr="008D745C" w:rsidP="007B5F12" w14:paraId="40B9D8E6" w14:textId="77777777">
      <w:pPr>
        <w:rPr>
          <w:sz w:val="18"/>
        </w:rPr>
      </w:pPr>
    </w:p>
    <w:p w:rsidR="007B5F12" w:rsidRPr="009232F3" w:rsidP="003A38C1" w14:paraId="34C2C4AD" w14:textId="77777777">
      <w:pPr>
        <w:pStyle w:val="Heading1"/>
      </w:pPr>
      <w:bookmarkStart w:id="42" w:name="_Toc130984378"/>
      <w:bookmarkStart w:id="43" w:name="_Toc256000017"/>
      <w:r>
        <w:t>Anvendelse av a</w:t>
      </w:r>
      <w:r w:rsidRPr="009232F3">
        <w:t>nleggsbidrag</w:t>
      </w:r>
      <w:bookmarkEnd w:id="43"/>
      <w:bookmarkEnd w:id="42"/>
      <w:r w:rsidRPr="009232F3">
        <w:t xml:space="preserve"> </w:t>
      </w:r>
    </w:p>
    <w:p w:rsidR="007B5F12" w:rsidRPr="008D745C" w:rsidP="007B5F12" w14:paraId="2EFFE183" w14:textId="77777777">
      <w:pPr>
        <w:keepNext/>
        <w:keepLines/>
      </w:pPr>
      <w:r>
        <w:t>I</w:t>
      </w:r>
      <w:r w:rsidRPr="008D745C">
        <w:t xml:space="preserve"> henhold til kontrollforskriften praktiserer Tensio TS regelen om anleggsbidrag når: </w:t>
      </w:r>
    </w:p>
    <w:p w:rsidR="007B5F12" w:rsidRPr="008D745C" w:rsidP="007B5F12" w14:paraId="297B2F11" w14:textId="77777777">
      <w:pPr>
        <w:pStyle w:val="ListParagraph"/>
        <w:keepNext/>
        <w:keepLines/>
        <w:numPr>
          <w:ilvl w:val="0"/>
          <w:numId w:val="42"/>
        </w:numPr>
        <w:ind w:right="475"/>
      </w:pPr>
      <w:r w:rsidRPr="008D745C">
        <w:t xml:space="preserve">Ny kunde bestiller nettilknytning. </w:t>
      </w:r>
    </w:p>
    <w:p w:rsidR="007B5F12" w:rsidRPr="008D745C" w:rsidP="007B5F12" w14:paraId="75C955CC" w14:textId="77777777">
      <w:pPr>
        <w:pStyle w:val="ListParagraph"/>
        <w:keepNext/>
        <w:keepLines/>
        <w:numPr>
          <w:ilvl w:val="0"/>
          <w:numId w:val="42"/>
        </w:numPr>
        <w:ind w:right="475"/>
      </w:pPr>
      <w:r w:rsidRPr="008D745C">
        <w:t xml:space="preserve">Eksisterende kunde ønsker økt kapasitet (bestiller mere effekt) </w:t>
      </w:r>
    </w:p>
    <w:p w:rsidR="007B5F12" w:rsidRPr="008D745C" w:rsidP="007B5F12" w14:paraId="47ED5CE8" w14:textId="77777777">
      <w:pPr>
        <w:pStyle w:val="ListParagraph"/>
        <w:keepNext/>
        <w:keepLines/>
        <w:numPr>
          <w:ilvl w:val="0"/>
          <w:numId w:val="42"/>
        </w:numPr>
        <w:ind w:right="475"/>
      </w:pPr>
      <w:r w:rsidRPr="008D745C">
        <w:t>Kunde ønsker bedre kvalitet</w:t>
      </w:r>
    </w:p>
    <w:p w:rsidR="007B5F12" w:rsidRPr="00FA4856" w:rsidP="007B5F12" w14:paraId="78121C66" w14:textId="77777777">
      <w:pPr>
        <w:pStyle w:val="ListParagraph"/>
        <w:ind w:left="709" w:firstLine="0"/>
        <w:rPr>
          <w:i/>
          <w:iCs/>
          <w:sz w:val="20"/>
          <w:szCs w:val="20"/>
        </w:rPr>
      </w:pPr>
      <w:bookmarkStart w:id="44" w:name="_Hlk131496062"/>
      <w:r w:rsidRPr="00FA4856">
        <w:rPr>
          <w:i/>
          <w:iCs/>
          <w:sz w:val="20"/>
          <w:szCs w:val="20"/>
        </w:rPr>
        <w:t xml:space="preserve">Kunden krever at nettselskapet etablerer nettanlegg med høyere standard/kvalitet enn det nettselskapet leverer i henhold til krav om leveringssikkerhet, leveringskvalitet eller estetikk. </w:t>
      </w:r>
    </w:p>
    <w:bookmarkEnd w:id="44"/>
    <w:p w:rsidR="007B5F12" w:rsidP="007B5F12" w14:paraId="69D87960" w14:textId="77777777"/>
    <w:p w:rsidR="007B5F12" w:rsidP="007B5F12" w14:paraId="30B54FB0" w14:textId="77777777">
      <w:r>
        <w:t xml:space="preserve">Anleggsbidraget skal fastsettes når det ikke er driftsmessig forsvarlig å tillate bestillingen, og at bestillingen utløser en investering for å forsterke nettanlegget som kunden tilknyttes. </w:t>
      </w:r>
    </w:p>
    <w:p w:rsidR="007B5F12" w:rsidP="007B5F12" w14:paraId="36BED76C" w14:textId="77777777">
      <w:r>
        <w:t>Kunden må dekke hele eller deler av kostnadsgrunnlaget for investeringen.</w:t>
      </w:r>
    </w:p>
    <w:p w:rsidR="007B5F12" w:rsidP="007B5F12" w14:paraId="525B24D2" w14:textId="77777777"/>
    <w:p w:rsidR="007B5F12" w:rsidRPr="008D745C" w:rsidP="007B5F12" w14:paraId="0DA07D49" w14:textId="77777777">
      <w:r w:rsidRPr="008D745C">
        <w:t xml:space="preserve">Nettselskapet skal </w:t>
      </w:r>
      <w:r>
        <w:t xml:space="preserve">også </w:t>
      </w:r>
      <w:r w:rsidRPr="008D745C">
        <w:t>fastsette og kreve inn et anleggsbidrag fra kunder som blir tilknyttet eller får økt kapasitet i nettanlegg som allerede er anleggsbidragsfinansiert</w:t>
      </w:r>
      <w:r>
        <w:t xml:space="preserve"> (10-årsregelen).</w:t>
      </w:r>
      <w:r w:rsidRPr="008D745C">
        <w:t xml:space="preserve">  </w:t>
      </w:r>
    </w:p>
    <w:p w:rsidR="007B5F12" w:rsidRPr="008D745C" w:rsidP="007B5F12" w14:paraId="60F309B2" w14:textId="77777777">
      <w:r w:rsidRPr="008D745C">
        <w:t xml:space="preserve">Plikten gjelder i ti år fra tidspunktet kunden som utløste investeringen ble tilknyttet eller fikk økt kapasitet. </w:t>
      </w:r>
    </w:p>
    <w:p w:rsidR="007B5F12" w:rsidP="007B5F12" w14:paraId="66C7E9FF" w14:textId="77777777">
      <w:r w:rsidRPr="008D745C">
        <w:t xml:space="preserve">Plikten opphører imidlertid når nettanlegget, utfra teoretiske beregningsmodeller, </w:t>
      </w:r>
      <w:r>
        <w:t xml:space="preserve">har fordelt hele nettets kapasitetsøkning (kundenes kapasitesøkning er blitt større eller lik med nettets kapasitetsøkning). </w:t>
      </w:r>
    </w:p>
    <w:p w:rsidR="007B5F12" w:rsidRPr="008D745C" w:rsidP="007B5F12" w14:paraId="1E68D0E7" w14:textId="77777777"/>
    <w:p w:rsidR="007B5F12" w:rsidP="007B5F12" w14:paraId="3622EBA9" w14:textId="77777777">
      <w:pPr>
        <w:rPr>
          <w:strike/>
        </w:rPr>
      </w:pPr>
      <w:r>
        <w:t xml:space="preserve">Nettselskapet </w:t>
      </w:r>
      <w:r w:rsidRPr="40A477BA">
        <w:rPr>
          <w:u w:val="single"/>
        </w:rPr>
        <w:t>kan</w:t>
      </w:r>
      <w:r>
        <w:t xml:space="preserve"> tilknytte nye kunder selv om den teoretiske effekten til nettanlegget er tømt. Det vil da ikke beregnes anleggsbidrag fra den delen av nettet som er teoretisk tømt for effekt.</w:t>
      </w:r>
    </w:p>
    <w:p w:rsidR="007B5F12" w:rsidP="007B5F12" w14:paraId="74B77FA5" w14:textId="77777777"/>
    <w:p w:rsidR="007B5F12" w:rsidP="007B5F12" w14:paraId="3EA8C132" w14:textId="77777777">
      <w:pPr>
        <w:rPr>
          <w:strike/>
        </w:rPr>
      </w:pPr>
      <w:r>
        <w:t xml:space="preserve">I Tensio TS sitt nett kommer 10-årsregelen til anvendelse for nettinvesteringer som er avtalt og utført </w:t>
      </w:r>
      <w:r w:rsidRPr="40A477BA">
        <w:rPr>
          <w:u w:val="single"/>
        </w:rPr>
        <w:t>etter</w:t>
      </w:r>
      <w:r>
        <w:t xml:space="preserve"> 1.1.2019. Det betyr at nettanlegg som er avtalt bygd, eller bygd, før 1.1.19 </w:t>
      </w:r>
      <w:r w:rsidRPr="40A477BA">
        <w:rPr>
          <w:u w:val="single"/>
        </w:rPr>
        <w:t>kan</w:t>
      </w:r>
      <w:r>
        <w:t xml:space="preserve"> være finansiert uten 10-årsregel. </w:t>
      </w:r>
    </w:p>
    <w:p w:rsidR="007B5F12" w:rsidP="007B5F12" w14:paraId="6B087680" w14:textId="77777777"/>
    <w:p w:rsidR="007B5F12" w:rsidRPr="008D745C" w:rsidP="007B5F12" w14:paraId="3EB6F673" w14:textId="77777777">
      <w:r w:rsidRPr="008D745C">
        <w:t>På forespørsel skal kunden gis fullt innsyn i Tensio TS sin beregning av kostnadsgrunnlaget</w:t>
      </w:r>
      <w:r>
        <w:t>.</w:t>
      </w:r>
    </w:p>
    <w:p w:rsidR="007B5F12" w:rsidRPr="008D745C" w:rsidP="007B5F12" w14:paraId="0C196DA0" w14:textId="77777777">
      <w:r w:rsidRPr="008D745C">
        <w:t xml:space="preserve"> </w:t>
      </w:r>
    </w:p>
    <w:p w:rsidR="007B5F12" w:rsidRPr="008D745C" w:rsidP="003A38C1" w14:paraId="468F506B" w14:textId="77777777">
      <w:pPr>
        <w:pStyle w:val="Heading2"/>
      </w:pPr>
      <w:bookmarkStart w:id="45" w:name="_Toc130984379"/>
      <w:bookmarkStart w:id="46" w:name="_Toc256000018"/>
      <w:r w:rsidRPr="008D745C">
        <w:t>Anleggsbidrag og nettnivå</w:t>
      </w:r>
      <w:bookmarkEnd w:id="46"/>
      <w:bookmarkEnd w:id="45"/>
      <w:r w:rsidRPr="008D745C">
        <w:t xml:space="preserve"> </w:t>
      </w:r>
    </w:p>
    <w:p w:rsidR="007B5F12" w:rsidP="007B5F12" w14:paraId="030CE2AE" w14:textId="77777777">
      <w:r w:rsidRPr="008D745C">
        <w:rPr>
          <w:noProof/>
        </w:rPr>
        <w:drawing>
          <wp:inline distT="0" distB="0" distL="0" distR="0">
            <wp:extent cx="6797549" cy="3369945"/>
            <wp:effectExtent l="0" t="0" r="0" b="0"/>
            <wp:docPr id="974" name="Bilde 974" descr="Et bilde som inneholder tekst, skjermbilde, diagram, Font&#10;&#10;Automatisk generert beskrivelse"/>
            <wp:cNvGraphicFramePr/>
            <a:graphic xmlns:a="http://schemas.openxmlformats.org/drawingml/2006/main">
              <a:graphicData uri="http://schemas.openxmlformats.org/drawingml/2006/picture">
                <pic:pic xmlns:pic="http://schemas.openxmlformats.org/drawingml/2006/picture">
                  <pic:nvPicPr>
                    <pic:cNvPr id="974" name="Bilde 974" descr="Et bilde som inneholder tekst, skjermbilde, diagram, Font&#10;&#10;Automatisk generert beskrivels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6797549" cy="3369945"/>
                    </a:xfrm>
                    <a:prstGeom prst="rect">
                      <a:avLst/>
                    </a:prstGeom>
                  </pic:spPr>
                </pic:pic>
              </a:graphicData>
            </a:graphic>
          </wp:inline>
        </w:drawing>
      </w:r>
      <w:r w:rsidRPr="008D745C">
        <w:rPr>
          <w:b/>
        </w:rPr>
        <w:t xml:space="preserve">  </w:t>
      </w:r>
      <w:r w:rsidRPr="008D745C">
        <w:t xml:space="preserve">Kunden skal beregnes anleggsbidrag i alle nettnivå for nettanlegg som kunden faktisk benytter. </w:t>
      </w:r>
    </w:p>
    <w:p w:rsidR="007B5F12" w:rsidRPr="007E4E82" w:rsidP="007B5F12" w14:paraId="2060DD78" w14:textId="77777777"/>
    <w:p w:rsidR="007B5F12" w:rsidRPr="008D745C" w:rsidP="003A38C1" w14:paraId="3F1CF72C" w14:textId="77777777">
      <w:pPr>
        <w:pStyle w:val="Heading2"/>
      </w:pPr>
      <w:bookmarkStart w:id="47" w:name="_Toc130984380"/>
      <w:bookmarkStart w:id="48" w:name="_Toc256000019"/>
      <w:r w:rsidRPr="008D745C">
        <w:t xml:space="preserve">Anleggsbidrag i </w:t>
      </w:r>
      <w:r>
        <w:t>regional- og transmisjonsnett</w:t>
      </w:r>
      <w:r w:rsidRPr="008D745C">
        <w:t>: Kontrollforskriftens (§16</w:t>
      </w:r>
      <w:r>
        <w:t>.</w:t>
      </w:r>
      <w:r w:rsidRPr="008D745C">
        <w:t>10)</w:t>
      </w:r>
      <w:bookmarkEnd w:id="48"/>
      <w:bookmarkEnd w:id="47"/>
      <w:r w:rsidRPr="008D745C">
        <w:t xml:space="preserve"> </w:t>
      </w:r>
    </w:p>
    <w:p w:rsidR="007B5F12" w:rsidP="007B5F12" w14:paraId="554334C4" w14:textId="77777777">
      <w:pPr>
        <w:keepNext/>
        <w:keepLines/>
      </w:pPr>
      <w:r>
        <w:t>Anleggsbidrag for tiltak i regionalnett skal beregnes etter samme regler som anvendes for distribusjonsnettet, med følgende unntak:</w:t>
      </w:r>
    </w:p>
    <w:p w:rsidR="007B5F12" w:rsidP="007B5F12" w14:paraId="0E4C1E9E" w14:textId="77777777">
      <w:pPr>
        <w:keepNext/>
        <w:keepLines/>
      </w:pPr>
    </w:p>
    <w:p w:rsidR="007B5F12" w:rsidRPr="00C814FD" w:rsidP="007B5F12" w14:paraId="193F5DF4" w14:textId="77777777">
      <w:pPr>
        <w:pStyle w:val="ListParagraph"/>
        <w:keepNext/>
        <w:keepLines/>
        <w:numPr>
          <w:ilvl w:val="0"/>
          <w:numId w:val="29"/>
        </w:numPr>
        <w:ind w:right="475"/>
        <w:rPr>
          <w:b/>
          <w:bCs/>
        </w:rPr>
      </w:pPr>
      <w:r w:rsidRPr="00C814FD">
        <w:rPr>
          <w:b/>
          <w:bCs/>
        </w:rPr>
        <w:t>Det skal fastsettes og beregnes anleggsbidrag kun for følgende kunder</w:t>
      </w:r>
    </w:p>
    <w:p w:rsidR="007B5F12" w:rsidP="007B5F12" w14:paraId="2F042937" w14:textId="77777777">
      <w:pPr>
        <w:pStyle w:val="ListParagraph"/>
        <w:keepNext/>
        <w:keepLines/>
        <w:numPr>
          <w:ilvl w:val="0"/>
          <w:numId w:val="28"/>
        </w:numPr>
        <w:ind w:right="475"/>
      </w:pPr>
      <w:r>
        <w:t>Ny kunde som ber om 1 MW eller mer.</w:t>
      </w:r>
    </w:p>
    <w:p w:rsidR="007B5F12" w:rsidP="007B5F12" w14:paraId="4DADF913" w14:textId="77777777">
      <w:pPr>
        <w:pStyle w:val="ListParagraph"/>
        <w:keepNext/>
        <w:keepLines/>
        <w:numPr>
          <w:ilvl w:val="0"/>
          <w:numId w:val="27"/>
        </w:numPr>
        <w:ind w:right="475"/>
      </w:pPr>
      <w:r>
        <w:t xml:space="preserve">For eksisterende kunde som har avtalt </w:t>
      </w:r>
      <w:r>
        <w:t>effekt på over 1 MW uavhengig av hvor mye de ber om.</w:t>
      </w:r>
    </w:p>
    <w:p w:rsidR="007B5F12" w:rsidP="007B5F12" w14:paraId="26391C6E" w14:textId="77777777">
      <w:pPr>
        <w:pStyle w:val="ListParagraph"/>
        <w:numPr>
          <w:ilvl w:val="0"/>
          <w:numId w:val="27"/>
        </w:numPr>
        <w:ind w:right="475"/>
      </w:pPr>
      <w:r>
        <w:t xml:space="preserve">For eksisterende kunde som har avtalt effekt under 1 MW, men ber om økning slik at de passerer terskelverdien. </w:t>
      </w:r>
    </w:p>
    <w:p w:rsidR="00ED154D" w:rsidP="00ED154D" w14:paraId="1C1329EC" w14:textId="77777777">
      <w:pPr>
        <w:pStyle w:val="ListParagraph"/>
        <w:ind w:left="705" w:firstLine="0"/>
        <w:rPr>
          <w:i/>
          <w:iCs/>
        </w:rPr>
      </w:pPr>
    </w:p>
    <w:p w:rsidR="00ED154D" w:rsidRPr="00ED154D" w:rsidP="00ED154D" w14:paraId="2EEBE60F" w14:textId="4E187A28">
      <w:pPr>
        <w:pStyle w:val="ListParagraph"/>
        <w:ind w:left="705" w:firstLine="0"/>
        <w:rPr>
          <w:color w:val="auto"/>
        </w:rPr>
      </w:pPr>
      <w:r w:rsidRPr="00ED154D">
        <w:rPr>
          <w:i/>
          <w:iCs/>
        </w:rPr>
        <w:t>Kunde defineres som sluttbruker (org.nr.) på en gitt eiendom (gnr/bnr i gitt kommune). Hvis kunden har anlegg på flere eiendommer behandles de som enkeltkunder og ikke samlet i forhold til 1MW grensen. Tilsvarende hvis flere kunder har anlegg på samme eiendom behandles de som enkeltkunder.</w:t>
      </w:r>
    </w:p>
    <w:p w:rsidR="007B5F12" w:rsidP="007B5F12" w14:paraId="78046938" w14:textId="77777777">
      <w:pPr>
        <w:ind w:left="0" w:firstLine="0"/>
      </w:pPr>
    </w:p>
    <w:p w:rsidR="007B5F12" w:rsidP="007B5F12" w14:paraId="5C459190" w14:textId="77777777">
      <w:pPr>
        <w:ind w:left="345" w:firstLine="0"/>
      </w:pPr>
      <w:r>
        <w:t xml:space="preserve">Ved anlegg med 10-årsregel summeres kunden </w:t>
      </w:r>
      <w:r>
        <w:t>effektuttak målt mot overliggende nett dersom kunden bestiller økt kapasitet i flere omganger.</w:t>
      </w:r>
    </w:p>
    <w:p w:rsidR="007B5F12" w:rsidRPr="000B7844" w:rsidP="007B5F12" w14:paraId="73EE23D7" w14:textId="77777777">
      <w:pPr>
        <w:ind w:left="0" w:firstLine="0"/>
        <w:rPr>
          <w:strike/>
        </w:rPr>
      </w:pPr>
    </w:p>
    <w:p w:rsidR="007B5F12" w:rsidRPr="00C814FD" w:rsidP="007B5F12" w14:paraId="11E1E9D7" w14:textId="77777777">
      <w:pPr>
        <w:pStyle w:val="ListParagraph"/>
        <w:numPr>
          <w:ilvl w:val="0"/>
          <w:numId w:val="29"/>
        </w:numPr>
        <w:ind w:right="475"/>
        <w:rPr>
          <w:b/>
          <w:bCs/>
        </w:rPr>
      </w:pPr>
      <w:r w:rsidRPr="00C814FD">
        <w:rPr>
          <w:b/>
          <w:bCs/>
        </w:rPr>
        <w:t>Reduksjonsfaktor</w:t>
      </w:r>
    </w:p>
    <w:p w:rsidR="007B5F12" w:rsidP="007B5F12" w14:paraId="22D4A4F7" w14:textId="77777777">
      <w:pPr>
        <w:suppressAutoHyphens/>
        <w:spacing w:line="247" w:lineRule="auto"/>
        <w:ind w:left="-6" w:right="476" w:hanging="11"/>
      </w:pPr>
      <w:r w:rsidRPr="009B0339">
        <w:t xml:space="preserve">Kostnadsgrunnlaget for investeringer i regional- og transmisjonsnettet skal multipliseres med en reduksjonsfaktor lik 0,5. </w:t>
      </w:r>
      <w:r>
        <w:t xml:space="preserve"> </w:t>
      </w:r>
      <w:r w:rsidRPr="009B0339">
        <w:t>Reduksjonsfaktoren skal ikke benyttes når kundens anleggsbidrag fastsettes etter §16</w:t>
      </w:r>
      <w:r>
        <w:t>.</w:t>
      </w:r>
      <w:r w:rsidRPr="009B0339">
        <w:t>8 eller §16</w:t>
      </w:r>
      <w:r>
        <w:t>.</w:t>
      </w:r>
      <w:r w:rsidRPr="009B0339">
        <w:t>9 tredje ledd.</w:t>
      </w:r>
    </w:p>
    <w:p w:rsidR="007B5F12" w:rsidP="007B5F12" w14:paraId="52C952A0" w14:textId="77777777"/>
    <w:p w:rsidR="007B5F12" w:rsidP="007B5F12" w14:paraId="10739520" w14:textId="77777777">
      <w:pPr>
        <w:pStyle w:val="ListParagraph"/>
        <w:numPr>
          <w:ilvl w:val="0"/>
          <w:numId w:val="29"/>
        </w:numPr>
        <w:ind w:right="475"/>
        <w:rPr>
          <w:b/>
          <w:bCs/>
        </w:rPr>
      </w:pPr>
      <w:r w:rsidRPr="0044492A">
        <w:rPr>
          <w:b/>
          <w:bCs/>
        </w:rPr>
        <w:t>Kostnadsgrunnlaget for investeringer i regional- og transmisjonsnett kan begrenses i særskilte tilfeller.</w:t>
      </w:r>
    </w:p>
    <w:p w:rsidR="007B5F12" w:rsidP="007B5F12" w14:paraId="3D2CADAA" w14:textId="77777777">
      <w:pPr>
        <w:ind w:left="-15" w:firstLine="0"/>
      </w:pPr>
      <w:r>
        <w:t xml:space="preserve">Unntaket er ment brukt i særskilte tilfeller i transmisjonsnettet som </w:t>
      </w:r>
      <w:r w:rsidRPr="008A5809">
        <w:t>en sikkerhetsventil</w:t>
      </w:r>
      <w:r>
        <w:t xml:space="preserve">. </w:t>
      </w:r>
    </w:p>
    <w:p w:rsidR="007B5F12" w:rsidRPr="000B7844" w:rsidP="007B5F12" w14:paraId="760F1FB5" w14:textId="77777777">
      <w:pPr>
        <w:ind w:left="-15" w:firstLine="0"/>
      </w:pPr>
      <w:r>
        <w:t xml:space="preserve">Der </w:t>
      </w:r>
      <w:r w:rsidRPr="008A5809">
        <w:t>nødvendige nettinvesteringen er av et slikt omfang at det ikke er hensiktsmessig å kun legge reglene for hvilke anleggskostnader som skal inngå i kostnadsgrunnlaget og fordeling av disse, til grunn for beregningen av kundens</w:t>
      </w:r>
      <w:r>
        <w:t xml:space="preserve"> </w:t>
      </w:r>
      <w:r w:rsidRPr="008A5809">
        <w:t xml:space="preserve">anleggsbidrag. </w:t>
      </w:r>
    </w:p>
    <w:p w:rsidR="007B5F12" w:rsidP="007B5F12" w14:paraId="3D405180" w14:textId="77777777"/>
    <w:p w:rsidR="007B5F12" w:rsidP="007B5F12" w14:paraId="678360F5" w14:textId="77777777"/>
    <w:p w:rsidR="007B5F12" w:rsidRPr="008D745C" w:rsidP="007B5F12" w14:paraId="362B7F74" w14:textId="77777777">
      <w:pPr>
        <w:rPr>
          <w:sz w:val="2"/>
        </w:rPr>
      </w:pPr>
    </w:p>
    <w:p w:rsidR="007B5F12" w:rsidP="007B5F12" w14:paraId="3DC566EC" w14:textId="77777777">
      <w:pPr>
        <w:pStyle w:val="Heading1"/>
      </w:pPr>
      <w:bookmarkStart w:id="49" w:name="_Toc130984381"/>
      <w:bookmarkStart w:id="50" w:name="_Toc256000020"/>
      <w:r w:rsidRPr="008D745C">
        <w:t>Beregning av anleggsbidrag</w:t>
      </w:r>
      <w:bookmarkEnd w:id="50"/>
      <w:bookmarkEnd w:id="49"/>
      <w:r w:rsidRPr="008D745C">
        <w:t xml:space="preserve"> </w:t>
      </w:r>
    </w:p>
    <w:p w:rsidR="007B5F12" w:rsidP="007B5F12" w14:paraId="590A4725" w14:textId="77777777">
      <w:r>
        <w:t xml:space="preserve">Anleggsbidrag er ikke mva. pliktig.  </w:t>
      </w:r>
    </w:p>
    <w:p w:rsidR="007B5F12" w:rsidP="007B5F12" w14:paraId="7A58475B" w14:textId="77777777"/>
    <w:p w:rsidR="007B5F12" w:rsidRPr="008D745C" w:rsidP="003A38C1" w14:paraId="27B663FF" w14:textId="77777777">
      <w:pPr>
        <w:pStyle w:val="Heading2"/>
      </w:pPr>
      <w:bookmarkStart w:id="51" w:name="_Toc130984382"/>
      <w:bookmarkStart w:id="52" w:name="_Toc256000021"/>
      <w:r w:rsidRPr="008D745C">
        <w:t xml:space="preserve">Dimensjonering av teknisk nettanlegg </w:t>
      </w:r>
      <w:r>
        <w:t>i distribusjonsnettet</w:t>
      </w:r>
      <w:bookmarkEnd w:id="52"/>
      <w:bookmarkEnd w:id="51"/>
    </w:p>
    <w:p w:rsidR="007B5F12" w:rsidRPr="008D745C" w:rsidP="007B5F12" w14:paraId="1B2703E2" w14:textId="77777777">
      <w:r w:rsidRPr="008D745C">
        <w:t>Tensio TS dimensjonerer alle tekniske løsninger/komponenter utfra de minimumskrav som settes i Forskrift om elektriske forsyningsanlegg (</w:t>
      </w:r>
      <w:r w:rsidRPr="008D745C">
        <w:rPr>
          <w:b/>
        </w:rPr>
        <w:t>FEF</w:t>
      </w:r>
      <w:r w:rsidRPr="008D745C">
        <w:t>) og Forskrift om leveringskvalitet i kraftsystemet</w:t>
      </w:r>
      <w:r w:rsidRPr="008D745C">
        <w:rPr>
          <w:rFonts w:eastAsia="Calibri"/>
        </w:rPr>
        <w:t xml:space="preserve"> (</w:t>
      </w:r>
      <w:r w:rsidRPr="008D745C">
        <w:rPr>
          <w:rFonts w:eastAsia="Calibri"/>
          <w:b/>
        </w:rPr>
        <w:t>FOL</w:t>
      </w:r>
      <w:r w:rsidRPr="008D745C">
        <w:rPr>
          <w:rFonts w:eastAsia="Calibri"/>
        </w:rPr>
        <w:t>)</w:t>
      </w:r>
      <w:r w:rsidRPr="008D745C">
        <w:t xml:space="preserve"> </w:t>
      </w:r>
    </w:p>
    <w:p w:rsidR="007B5F12" w:rsidRPr="008D745C" w:rsidP="007B5F12" w14:paraId="42CCAB33" w14:textId="77777777">
      <w:r w:rsidRPr="008D745C">
        <w:t xml:space="preserve">Komponenter som inngår i nettanlegget vil alltid dimensjoneres utfra minste standard som dekker den aktuelle kundens og eventuelt kjente framtidige kunders behov, og velges ut fra Tensio TS sin definerte materialstandard. </w:t>
      </w:r>
    </w:p>
    <w:p w:rsidR="007B5F12" w:rsidRPr="008D745C" w:rsidP="007B5F12" w14:paraId="40D0A2E9" w14:textId="77777777">
      <w:r w:rsidRPr="008D745C">
        <w:t xml:space="preserve"> </w:t>
      </w:r>
    </w:p>
    <w:p w:rsidR="007B5F12" w:rsidP="007B5F12" w14:paraId="1F06A741" w14:textId="77777777">
      <w:pPr>
        <w:rPr>
          <w:color w:val="1F497D"/>
        </w:rPr>
      </w:pPr>
      <w:r w:rsidRPr="008D745C">
        <w:t>I kundespesifikke anlegg (§16.8 eller §16.9 tredje ledd) skal kostnadsgrunnlaget (KG) kun omfatte minste standard komponenter som er nødvendig for å forsyne kundens teoretiske effektbehov.</w:t>
      </w:r>
      <w:r w:rsidRPr="008D745C">
        <w:rPr>
          <w:color w:val="1F497D"/>
        </w:rPr>
        <w:t xml:space="preserve"> </w:t>
      </w:r>
    </w:p>
    <w:p w:rsidR="007B5F12" w:rsidP="007B5F12" w14:paraId="5D4B1D96" w14:textId="77777777"/>
    <w:p w:rsidR="007B5F12" w:rsidRPr="008D745C" w:rsidP="003A38C1" w14:paraId="25BAED71" w14:textId="77777777">
      <w:pPr>
        <w:pStyle w:val="Heading2"/>
      </w:pPr>
      <w:bookmarkStart w:id="53" w:name="_Toc130984383"/>
      <w:bookmarkStart w:id="54" w:name="_Toc256000022"/>
      <w:r w:rsidRPr="008D745C">
        <w:t>Kostnadsgrunnlaget (KG)</w:t>
      </w:r>
      <w:bookmarkEnd w:id="54"/>
      <w:bookmarkEnd w:id="53"/>
      <w:r w:rsidRPr="008D745C">
        <w:t xml:space="preserve"> </w:t>
      </w:r>
    </w:p>
    <w:p w:rsidR="007B5F12" w:rsidRPr="008D745C" w:rsidP="007B5F12" w14:paraId="0F33DBC0" w14:textId="77777777">
      <w:pPr>
        <w:pStyle w:val="ListParagraph"/>
        <w:numPr>
          <w:ilvl w:val="0"/>
          <w:numId w:val="30"/>
        </w:numPr>
        <w:ind w:right="475"/>
      </w:pPr>
      <w:r w:rsidRPr="008D745C">
        <w:t>KG</w:t>
      </w:r>
      <w:r w:rsidRPr="00154310">
        <w:t xml:space="preserve"> </w:t>
      </w:r>
      <w:r w:rsidRPr="008D745C">
        <w:t xml:space="preserve">er utgangspunktet for anleggsbidraget som skal fordeles og faktureres aktuelle kunder. </w:t>
      </w:r>
    </w:p>
    <w:p w:rsidR="007B5F12" w:rsidRPr="008D745C" w:rsidP="007B5F12" w14:paraId="5382041B" w14:textId="77777777">
      <w:pPr>
        <w:pStyle w:val="ListParagraph"/>
        <w:numPr>
          <w:ilvl w:val="0"/>
          <w:numId w:val="30"/>
        </w:numPr>
        <w:ind w:right="475"/>
      </w:pPr>
      <w:r w:rsidRPr="008D745C">
        <w:t>KG beregnes for hvert nettnivå som kunden faktisk benytter.</w:t>
      </w:r>
    </w:p>
    <w:p w:rsidR="007B5F12" w:rsidRPr="008D745C" w:rsidP="007B5F12" w14:paraId="3DE451DB" w14:textId="77777777">
      <w:pPr>
        <w:pStyle w:val="ListParagraph"/>
        <w:numPr>
          <w:ilvl w:val="0"/>
          <w:numId w:val="30"/>
        </w:numPr>
        <w:ind w:right="475"/>
      </w:pPr>
      <w:r w:rsidRPr="008D745C">
        <w:t>KG kan maksimalt være lik anleggskostnaden (AK) for nettanlegget (</w:t>
      </w:r>
      <w:r w:rsidRPr="00154310">
        <w:t>eks utredning</w:t>
      </w:r>
      <w:r w:rsidRPr="008D745C">
        <w:t xml:space="preserve">) </w:t>
      </w:r>
    </w:p>
    <w:p w:rsidR="007B5F12" w:rsidRPr="008D745C" w:rsidP="007B5F12" w14:paraId="7B25146C" w14:textId="77777777">
      <w:pPr>
        <w:ind w:left="0"/>
      </w:pPr>
    </w:p>
    <w:p w:rsidR="007B5F12" w:rsidRPr="008D745C" w:rsidP="007B5F12" w14:paraId="588D7994" w14:textId="77777777">
      <w:pPr>
        <w:pStyle w:val="ListParagraph"/>
        <w:numPr>
          <w:ilvl w:val="0"/>
          <w:numId w:val="30"/>
        </w:numPr>
        <w:ind w:right="475"/>
      </w:pPr>
      <w:r w:rsidRPr="008D745C">
        <w:t xml:space="preserve">Der kundens bestilte effektøkning medfører en fornyelse (reinvestering) av eksisterende nettanlegg, skal KG korrigeres slik: </w:t>
      </w:r>
    </w:p>
    <w:p w:rsidR="007B5F12" w:rsidRPr="008D745C" w:rsidP="007B5F12" w14:paraId="467E16D4" w14:textId="77777777">
      <w:pPr>
        <w:pStyle w:val="ListParagraph"/>
        <w:numPr>
          <w:ilvl w:val="1"/>
          <w:numId w:val="30"/>
        </w:numPr>
        <w:ind w:right="475"/>
      </w:pPr>
      <w:r w:rsidRPr="008D745C">
        <w:t xml:space="preserve">KG </w:t>
      </w:r>
      <w:r w:rsidRPr="00373D28">
        <w:t>fratrekkes</w:t>
      </w:r>
      <w:r w:rsidRPr="008D745C">
        <w:t xml:space="preserve"> Tensio TS sin beregnede kostnad med å reinvestere nettanlegget slik Tensio TS ville ha gjort det før sluttbrukerens effektøkning er hensyntatt (</w:t>
      </w:r>
      <w:r w:rsidRPr="00373D28">
        <w:t>Reinvesteringskostnad</w:t>
      </w:r>
      <w:r w:rsidRPr="008D745C">
        <w:t xml:space="preserve">) </w:t>
      </w:r>
    </w:p>
    <w:p w:rsidR="007B5F12" w:rsidRPr="008D745C" w:rsidP="007B5F12" w14:paraId="6E3EAAB7" w14:textId="77777777">
      <w:pPr>
        <w:pStyle w:val="ListParagraph"/>
        <w:numPr>
          <w:ilvl w:val="1"/>
          <w:numId w:val="30"/>
        </w:numPr>
        <w:ind w:right="475"/>
      </w:pPr>
      <w:r>
        <w:t xml:space="preserve">KG tillegges Tensio TS sin beregnede kostnad med å fornye nettanlegget før nettanleggets teoretiske levetid er nådd (Fremskyndingskostnad) </w:t>
      </w:r>
    </w:p>
    <w:p w:rsidR="007B5F12" w:rsidRPr="008D745C" w:rsidP="007B5F12" w14:paraId="7528174D" w14:textId="77777777">
      <w:pPr>
        <w:pStyle w:val="ListParagraph"/>
        <w:ind w:left="705" w:firstLine="0"/>
      </w:pPr>
    </w:p>
    <w:p w:rsidR="007B5F12" w:rsidP="007B5F12" w14:paraId="1E12E9AC" w14:textId="77777777">
      <w:r w:rsidRPr="00BE1B83">
        <w:rPr>
          <w:b/>
        </w:rPr>
        <w:t xml:space="preserve">Kundens andel av KG </w:t>
      </w:r>
      <w:r w:rsidRPr="008D745C">
        <w:t>(</w:t>
      </w:r>
      <w:r w:rsidRPr="00BE1B83">
        <w:rPr>
          <w:sz w:val="14"/>
        </w:rPr>
        <w:t>=</w:t>
      </w:r>
      <w:r w:rsidRPr="008D745C">
        <w:t>anleggsbidraget)</w:t>
      </w:r>
      <w:r w:rsidRPr="00BE1B83">
        <w:rPr>
          <w:b/>
        </w:rPr>
        <w:t xml:space="preserve"> </w:t>
      </w:r>
      <w:r w:rsidRPr="008D745C">
        <w:t xml:space="preserve">settes lik summen av kundens andel av KG for </w:t>
      </w:r>
      <w:r w:rsidRPr="008D745C">
        <w:t>hvert</w:t>
      </w:r>
      <w:r w:rsidRPr="00BE1B83">
        <w:rPr>
          <w:u w:val="single"/>
        </w:rPr>
        <w:t xml:space="preserve"> nettnivå</w:t>
      </w:r>
      <w:r w:rsidRPr="008D745C">
        <w:t xml:space="preserve"> </w:t>
      </w:r>
    </w:p>
    <w:p w:rsidR="007B5F12" w:rsidP="007B5F12" w14:paraId="569B3955" w14:textId="77777777">
      <w:r w:rsidRPr="00DE62A0">
        <w:rPr>
          <w:b/>
        </w:rPr>
        <w:t xml:space="preserve">Kundens andel beregnes </w:t>
      </w:r>
      <w:r w:rsidRPr="008D745C">
        <w:t xml:space="preserve">utfra kundens effektbehov og hvilken metode som legges til grunn for anleggsbidraget </w:t>
      </w:r>
    </w:p>
    <w:p w:rsidR="007B5F12" w:rsidRPr="008D745C" w:rsidP="007B5F12" w14:paraId="1BF36785" w14:textId="77777777"/>
    <w:p w:rsidR="007B5F12" w:rsidRPr="008D745C" w:rsidP="007B5F12" w14:paraId="63D71389" w14:textId="77777777">
      <w:pPr>
        <w:rPr>
          <w:sz w:val="2"/>
        </w:rPr>
      </w:pPr>
      <w:r w:rsidRPr="008D745C">
        <w:t xml:space="preserve"> </w:t>
      </w:r>
    </w:p>
    <w:p w:rsidR="007B5F12" w:rsidRPr="008D745C" w:rsidP="003A38C1" w14:paraId="4D154DC7" w14:textId="77777777">
      <w:pPr>
        <w:pStyle w:val="Heading2"/>
      </w:pPr>
      <w:bookmarkStart w:id="55" w:name="_Toc130984384"/>
      <w:bookmarkStart w:id="56" w:name="_Toc256000023"/>
      <w:r w:rsidRPr="008D745C">
        <w:t>Anleggskostnad (AK):</w:t>
      </w:r>
      <w:bookmarkEnd w:id="56"/>
      <w:bookmarkEnd w:id="55"/>
      <w:r w:rsidRPr="008D745C">
        <w:t xml:space="preserve">  </w:t>
      </w:r>
    </w:p>
    <w:p w:rsidR="007B5F12" w:rsidP="007B5F12" w14:paraId="4555B16C" w14:textId="77777777">
      <w:pPr>
        <w:pStyle w:val="ListParagraph"/>
        <w:numPr>
          <w:ilvl w:val="0"/>
          <w:numId w:val="31"/>
        </w:numPr>
        <w:ind w:right="475"/>
      </w:pPr>
      <w:r w:rsidRPr="008D745C">
        <w:t xml:space="preserve">Investeringskostnad for det nettanlegg som bygges, og som kunden skal bruke/bruker, eller som må endres, i forbindelse med nettinvesteringen som utløser anleggsbidraget. </w:t>
      </w:r>
    </w:p>
    <w:p w:rsidR="007B5F12" w:rsidRPr="008D745C" w:rsidP="007B5F12" w14:paraId="038445D1" w14:textId="77777777">
      <w:pPr>
        <w:pStyle w:val="ListParagraph"/>
        <w:ind w:left="705" w:firstLine="0"/>
      </w:pPr>
    </w:p>
    <w:p w:rsidR="007B5F12" w:rsidRPr="008D745C" w:rsidP="007B5F12" w14:paraId="047724A4" w14:textId="77777777">
      <w:pPr>
        <w:rPr>
          <w:sz w:val="2"/>
        </w:rPr>
      </w:pPr>
      <w:r w:rsidRPr="008D745C">
        <w:t xml:space="preserve"> </w:t>
      </w:r>
    </w:p>
    <w:p w:rsidR="007B5F12" w:rsidRPr="008D745C" w:rsidP="003A38C1" w14:paraId="69C56684" w14:textId="77777777">
      <w:pPr>
        <w:pStyle w:val="Heading2"/>
      </w:pPr>
      <w:bookmarkStart w:id="57" w:name="_Toc130984385"/>
      <w:bookmarkStart w:id="58" w:name="_Toc256000024"/>
      <w:r w:rsidRPr="008D745C">
        <w:t>Reinvesteringskostnad (RI)</w:t>
      </w:r>
      <w:bookmarkEnd w:id="58"/>
      <w:bookmarkEnd w:id="57"/>
      <w:r w:rsidRPr="008D745C">
        <w:t xml:space="preserve">  </w:t>
      </w:r>
    </w:p>
    <w:p w:rsidR="007B5F12" w:rsidRPr="008D745C" w:rsidP="007B5F12" w14:paraId="54FAC5F8" w14:textId="77777777">
      <w:pPr>
        <w:pStyle w:val="ListParagraph"/>
        <w:numPr>
          <w:ilvl w:val="0"/>
          <w:numId w:val="31"/>
        </w:numPr>
        <w:ind w:right="475"/>
      </w:pPr>
      <w:r w:rsidRPr="008D745C">
        <w:t xml:space="preserve">Tensio TS sin beregnede kostnad (nåverdi) ved å måtte reinvestere det aktuelle nettanlegget slik at det tilfredsstiller FEF og FOL med de sluttbrukerne som er tilknyttet nettet </w:t>
      </w:r>
      <w:r w:rsidRPr="002C023E">
        <w:rPr>
          <w:u w:val="single" w:color="000000"/>
        </w:rPr>
        <w:t>før</w:t>
      </w:r>
      <w:r w:rsidRPr="008D745C">
        <w:t xml:space="preserve"> kunder med ny effektbestilling legges til. </w:t>
      </w:r>
    </w:p>
    <w:p w:rsidR="007B5F12" w:rsidRPr="008D745C" w:rsidP="007B5F12" w14:paraId="3389AA23" w14:textId="77777777">
      <w:pPr>
        <w:pStyle w:val="ListParagraph"/>
        <w:numPr>
          <w:ilvl w:val="0"/>
          <w:numId w:val="31"/>
        </w:numPr>
        <w:ind w:right="475"/>
      </w:pPr>
      <w:r w:rsidRPr="008D745C">
        <w:t>Dette er en beregnet (teoretisk) kostnad som gjenspeiler Tensio TS sin leveringsplikt, herunder plikt til å vedlikeholde og fornye eksisterende nett anlegg, og som Tensio TS derfor skal trekke fra anleggskostnaden</w:t>
      </w:r>
    </w:p>
    <w:p w:rsidR="007B5F12" w:rsidRPr="008D745C" w:rsidP="007B5F12" w14:paraId="4350E1E6" w14:textId="77777777">
      <w:pPr>
        <w:pStyle w:val="ListParagraph"/>
        <w:numPr>
          <w:ilvl w:val="0"/>
          <w:numId w:val="31"/>
        </w:numPr>
        <w:ind w:right="475"/>
      </w:pPr>
      <w:r w:rsidRPr="008D745C">
        <w:t>Tensio TS benytter REN (Rasjonell elektrisk nettdrift) sitt standard kalkulasjonsverktøy for å beregne Reinvesteringskostnad</w:t>
      </w:r>
      <w:r>
        <w:t xml:space="preserve"> i distribusjonsnettet.</w:t>
      </w:r>
    </w:p>
    <w:p w:rsidR="007B5F12" w:rsidRPr="008D745C" w:rsidP="007B5F12" w14:paraId="10F6FE96" w14:textId="77777777"/>
    <w:p w:rsidR="007B5F12" w:rsidRPr="008D745C" w:rsidP="003A38C1" w14:paraId="6E9185A6" w14:textId="77777777">
      <w:pPr>
        <w:pStyle w:val="Heading2"/>
      </w:pPr>
      <w:bookmarkStart w:id="59" w:name="_Toc130984386"/>
      <w:bookmarkStart w:id="60" w:name="_Toc256000025"/>
      <w:r w:rsidRPr="008D745C">
        <w:t>Fremskyndingskostnad (FK)</w:t>
      </w:r>
      <w:bookmarkEnd w:id="60"/>
      <w:bookmarkEnd w:id="59"/>
      <w:r w:rsidRPr="008D745C">
        <w:t xml:space="preserve"> </w:t>
      </w:r>
    </w:p>
    <w:p w:rsidR="007B5F12" w:rsidP="007B5F12" w14:paraId="5FC1243E" w14:textId="77777777">
      <w:pPr>
        <w:pStyle w:val="ListParagraph"/>
        <w:numPr>
          <w:ilvl w:val="0"/>
          <w:numId w:val="32"/>
        </w:numPr>
        <w:ind w:right="475"/>
      </w:pPr>
      <w:r w:rsidRPr="008D745C">
        <w:t xml:space="preserve">Tensio TS sin beregnede kostnad (nåverdi) ved å måtte reinvestere det aktuelle nettanlegget før nettanleggets teoretiske levetid er nådd. </w:t>
      </w:r>
    </w:p>
    <w:p w:rsidR="007B5F12" w:rsidRPr="008D745C" w:rsidP="007B5F12" w14:paraId="0F9850F1" w14:textId="77777777">
      <w:pPr>
        <w:pStyle w:val="ListParagraph"/>
        <w:numPr>
          <w:ilvl w:val="0"/>
          <w:numId w:val="32"/>
        </w:numPr>
        <w:ind w:right="475"/>
      </w:pPr>
      <w:r>
        <w:t>D</w:t>
      </w:r>
      <w:r w:rsidRPr="008D745C">
        <w:t>et benyttes en kalkulasjonsrente i henholdt til Finansdepartementets Rundskriv R-109/2021 for å beregne nåverdi av fremskyndingskostnaden</w:t>
      </w:r>
      <w:r>
        <w:t>.</w:t>
      </w:r>
      <w:r w:rsidRPr="008D745C">
        <w:t xml:space="preserve"> </w:t>
      </w:r>
    </w:p>
    <w:p w:rsidR="007B5F12" w:rsidP="007B5F12" w14:paraId="6165EF09" w14:textId="77777777">
      <w:pPr>
        <w:pStyle w:val="ListParagraph"/>
        <w:numPr>
          <w:ilvl w:val="0"/>
          <w:numId w:val="32"/>
        </w:numPr>
        <w:ind w:right="475"/>
      </w:pPr>
      <w:r w:rsidRPr="008D745C">
        <w:t>Utgangspunktet for beregning av fremskyndingskostnad er beregnet reinvesteringskostnad. Fremskyndingskostnaden blir alltid mindre enn Reinvesteringskostnaden.</w:t>
      </w:r>
    </w:p>
    <w:p w:rsidR="007B5F12" w:rsidP="007B5F12" w14:paraId="1E902309" w14:textId="77777777">
      <w:pPr>
        <w:pStyle w:val="ListParagraph"/>
        <w:ind w:left="705" w:firstLine="0"/>
      </w:pPr>
      <w:r>
        <w:rPr>
          <w:noProof/>
        </w:rPr>
        <w:drawing>
          <wp:inline distT="0" distB="0" distL="0" distR="0">
            <wp:extent cx="2275991" cy="361950"/>
            <wp:effectExtent l="0" t="0" r="0" b="0"/>
            <wp:docPr id="2" name="Bilde 2" descr="Et bilde som inneholder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diagram&#10;&#10;Automatisk generert beskrivelse"/>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5053" cy="366572"/>
                    </a:xfrm>
                    <a:prstGeom prst="rect">
                      <a:avLst/>
                    </a:prstGeom>
                    <a:noFill/>
                    <a:ln>
                      <a:noFill/>
                    </a:ln>
                  </pic:spPr>
                </pic:pic>
              </a:graphicData>
            </a:graphic>
          </wp:inline>
        </w:drawing>
      </w:r>
    </w:p>
    <w:p w:rsidR="007B5F12" w:rsidP="007B5F12" w14:paraId="1A9CBFED" w14:textId="77777777">
      <w:pPr>
        <w:pStyle w:val="ListParagraph"/>
        <w:ind w:left="705" w:firstLine="0"/>
      </w:pPr>
    </w:p>
    <w:p w:rsidR="007B5F12" w:rsidRPr="008D745C" w:rsidP="003A38C1" w14:paraId="0A7BAEA8" w14:textId="77777777">
      <w:pPr>
        <w:pStyle w:val="Heading2"/>
      </w:pPr>
      <w:bookmarkStart w:id="61" w:name="_Toc130984387"/>
      <w:bookmarkStart w:id="62" w:name="_Toc256000026"/>
      <w:r w:rsidRPr="008D745C">
        <w:t>Teoretisk levetid på nettkomponenter i distribusjonsnett</w:t>
      </w:r>
      <w:bookmarkEnd w:id="62"/>
      <w:bookmarkEnd w:id="61"/>
    </w:p>
    <w:p w:rsidR="007B5F12" w:rsidRPr="008D745C" w:rsidP="007B5F12" w14:paraId="45E8286A" w14:textId="77777777">
      <w:pPr>
        <w:pStyle w:val="ListParagraph"/>
        <w:numPr>
          <w:ilvl w:val="0"/>
          <w:numId w:val="33"/>
        </w:numPr>
        <w:ind w:right="475"/>
      </w:pPr>
      <w:r w:rsidRPr="008D745C">
        <w:t xml:space="preserve">Det benyttes økonomisk levetid for komponenter i </w:t>
      </w:r>
      <w:r w:rsidRPr="00B152D5">
        <w:t>lavspenningsnettet/stikkledning</w:t>
      </w:r>
      <w:r w:rsidRPr="008D745C">
        <w:t xml:space="preserve">. </w:t>
      </w:r>
      <w:r>
        <w:t>Ø</w:t>
      </w:r>
      <w:r w:rsidRPr="008D745C">
        <w:t xml:space="preserve">konomisk levetid satt til </w:t>
      </w:r>
      <w:r w:rsidRPr="00B152D5">
        <w:t>50 år</w:t>
      </w:r>
      <w:r w:rsidRPr="008D745C">
        <w:t xml:space="preserve"> </w:t>
      </w:r>
    </w:p>
    <w:p w:rsidR="007B5F12" w:rsidRPr="008D745C" w:rsidP="007B5F12" w14:paraId="76634BFD" w14:textId="77777777">
      <w:pPr>
        <w:pStyle w:val="ListParagraph"/>
        <w:numPr>
          <w:ilvl w:val="0"/>
          <w:numId w:val="33"/>
        </w:numPr>
        <w:ind w:right="475"/>
      </w:pPr>
      <w:r w:rsidRPr="008D745C">
        <w:t>Det benyttes teknisk levetid for komponenter i mellomspenningsnettet og nettstasjon</w:t>
      </w:r>
      <w:r>
        <w:t>, det beregnes ikke fremskyndingskostnader for fordelingstransformatorer</w:t>
      </w:r>
      <w:r w:rsidRPr="008D745C">
        <w:t xml:space="preserve">. </w:t>
      </w:r>
      <w:r>
        <w:br/>
      </w:r>
      <w:r w:rsidRPr="008D745C">
        <w:t xml:space="preserve">Tensio TS har spesifisert sjablonmessige levetider på </w:t>
      </w:r>
      <w:r w:rsidRPr="00B152D5">
        <w:t>mellomspennings- og nettstasjonskomponenter</w:t>
      </w:r>
      <w:r w:rsidRPr="008D745C">
        <w:t xml:space="preserve">. Disse varierer fra </w:t>
      </w:r>
      <w:r w:rsidRPr="00B152D5">
        <w:t>60 år til 80 år</w:t>
      </w:r>
      <w:r>
        <w:t>.</w:t>
      </w:r>
      <w:r w:rsidRPr="008D745C">
        <w:t xml:space="preserve"> Dersom Tensio TS vurderer nettanlegg som skal reinvesteres å ha kortere gjenstående levetid enn den sjablonmessige levetiden, brukes den korteste levetiden i beregningsgrunnlaget for KG </w:t>
      </w:r>
    </w:p>
    <w:p w:rsidR="007B5F12" w:rsidRPr="008D745C" w:rsidP="007B5F12" w14:paraId="5A670ED0" w14:textId="77777777">
      <w:pPr>
        <w:pStyle w:val="ListParagraph"/>
        <w:numPr>
          <w:ilvl w:val="0"/>
          <w:numId w:val="34"/>
        </w:numPr>
        <w:ind w:right="475"/>
      </w:pPr>
      <w:r w:rsidRPr="008D745C">
        <w:t xml:space="preserve">Partene kan be om 3.partsvurdering av teknisk levetid på aktuelt nettanlegg. </w:t>
      </w:r>
    </w:p>
    <w:p w:rsidR="007B5F12" w:rsidRPr="008D745C" w:rsidP="007B5F12" w14:paraId="3EB01C9A" w14:textId="77777777">
      <w:r w:rsidRPr="008D745C">
        <w:t xml:space="preserve">  </w:t>
      </w:r>
    </w:p>
    <w:p w:rsidR="007B5F12" w:rsidRPr="008D745C" w:rsidP="003A38C1" w14:paraId="05460E06" w14:textId="77777777">
      <w:pPr>
        <w:pStyle w:val="Heading2"/>
      </w:pPr>
      <w:bookmarkStart w:id="63" w:name="_Toc130984388"/>
      <w:bookmarkStart w:id="64" w:name="_Toc256000027"/>
      <w:r w:rsidRPr="008D745C">
        <w:t>Veiledende verdier for teknisk levetid for ulike typer regionalnettsanlegg</w:t>
      </w:r>
      <w:bookmarkEnd w:id="64"/>
      <w:bookmarkEnd w:id="63"/>
    </w:p>
    <w:p w:rsidR="007B5F12" w:rsidRPr="008D3EB3" w:rsidP="007B5F12" w14:paraId="6B94B9FE" w14:textId="77777777">
      <w:pPr>
        <w:pStyle w:val="ListParagraph"/>
        <w:numPr>
          <w:ilvl w:val="0"/>
          <w:numId w:val="33"/>
        </w:numPr>
        <w:ind w:right="475"/>
        <w:rPr>
          <w:u w:val="single"/>
        </w:rPr>
      </w:pPr>
      <w:r w:rsidRPr="008D745C">
        <w:t>Det benyttes teknisk levetid for komponenter regionalnettet. Tensio TS har spesifisert sjablonmessige levetider på ulike regionalnettsanlegg.  Disse varierer fra 50 år til 100 år.</w:t>
      </w:r>
      <w:r>
        <w:t xml:space="preserve">  </w:t>
      </w:r>
      <w:r w:rsidRPr="008D3EB3">
        <w:rPr>
          <w:rFonts w:eastAsia="Calibri"/>
        </w:rPr>
        <w:t xml:space="preserve">I praksis vil det være stor usikkerhet og variasjon knyttet til faktisk levetid for de ulike komponenter. Anleggenes alder og forventet levetid kan, sammen med tilstandsanalyser, gi en indikasjon på restlevetid og framtidige rehabiliteringskostnader. Høy utnyttelse av enkelte anlegg, f.eks. kabler og transformatorer, kan </w:t>
      </w:r>
      <w:r w:rsidRPr="008D3EB3">
        <w:rPr>
          <w:rFonts w:eastAsia="Calibri"/>
        </w:rPr>
        <w:t xml:space="preserve">redusere levetida.  </w:t>
      </w:r>
      <w:r w:rsidRPr="008D3EB3">
        <w:rPr>
          <w:rFonts w:cstheme="minorBidi"/>
        </w:rPr>
        <w:t>Dersom Tensio TS vurderer nettanlegg som skal reinvesteres å ha kortere gjenstående levetid enn den sjablonmessige levetiden, brukes den korteste levetiden i beregning</w:t>
      </w:r>
      <w:r w:rsidRPr="008D3EB3">
        <w:rPr>
          <w:rFonts w:cstheme="minorBidi"/>
        </w:rPr>
        <w:t>sgrunnlaget for KG</w:t>
      </w:r>
      <w:r>
        <w:rPr>
          <w:rFonts w:cstheme="minorBidi"/>
        </w:rPr>
        <w:t>.</w:t>
      </w:r>
      <w:r w:rsidRPr="008D3EB3">
        <w:rPr>
          <w:rFonts w:cstheme="minorBidi"/>
        </w:rPr>
        <w:t xml:space="preserve"> </w:t>
      </w:r>
    </w:p>
    <w:p w:rsidR="007B5F12" w:rsidRPr="008D3EB3" w:rsidP="007B5F12" w14:paraId="43B03FDB" w14:textId="77777777">
      <w:pPr>
        <w:pStyle w:val="ListParagraph"/>
        <w:numPr>
          <w:ilvl w:val="0"/>
          <w:numId w:val="33"/>
        </w:numPr>
        <w:ind w:right="475"/>
        <w:rPr>
          <w:u w:val="single"/>
        </w:rPr>
      </w:pPr>
      <w:r w:rsidRPr="008D745C">
        <w:t>Det beregnes ikke fremskyndingskostnader for transformatorer.</w:t>
      </w:r>
    </w:p>
    <w:p w:rsidR="007B5F12" w:rsidRPr="008D745C" w:rsidP="007B5F12" w14:paraId="5B8E94B1" w14:textId="77777777">
      <w:pPr>
        <w:pStyle w:val="ListParagraph"/>
        <w:numPr>
          <w:ilvl w:val="0"/>
          <w:numId w:val="33"/>
        </w:numPr>
        <w:ind w:right="475"/>
      </w:pPr>
      <w:r w:rsidRPr="008D745C">
        <w:t xml:space="preserve">Partene kan be om 3.partsvurdering av teknisk levetid på aktuelt nettanlegg </w:t>
      </w:r>
    </w:p>
    <w:p w:rsidR="007B5F12" w:rsidP="007B5F12" w14:paraId="07EB25DE" w14:textId="77777777">
      <w:pPr>
        <w:ind w:left="0" w:firstLine="0"/>
      </w:pPr>
    </w:p>
    <w:p w:rsidR="007B5F12" w:rsidP="007B5F12" w14:paraId="631867C6" w14:textId="77777777">
      <w:pPr>
        <w:ind w:left="0" w:firstLine="0"/>
      </w:pPr>
    </w:p>
    <w:p w:rsidR="007B5F12" w:rsidRPr="008D745C" w:rsidP="003A38C1" w14:paraId="3A5204A0" w14:textId="77777777">
      <w:pPr>
        <w:pStyle w:val="Heading2"/>
      </w:pPr>
      <w:bookmarkStart w:id="65" w:name="_Toc130984389"/>
      <w:bookmarkStart w:id="66" w:name="_Toc256000028"/>
      <w:r w:rsidRPr="008D745C">
        <w:t>Oppsummert beregning av kostnadsgrunnlag:</w:t>
      </w:r>
      <w:bookmarkEnd w:id="66"/>
      <w:bookmarkEnd w:id="65"/>
      <w:r w:rsidRPr="008D745C">
        <w:t xml:space="preserve"> </w:t>
      </w: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tblGrid>
      <w:tr w14:paraId="41CAA593" w14:textId="77777777" w:rsidTr="00BF2EC2">
        <w:tblPrEx>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44" w:type="dxa"/>
          </w:tcPr>
          <w:p w:rsidR="007B5F12" w:rsidP="00BF2EC2" w14:paraId="778844F7" w14:textId="77777777">
            <w:pPr>
              <w:ind w:left="0" w:firstLine="0"/>
            </w:pPr>
            <w:r w:rsidRPr="008D745C">
              <w:t xml:space="preserve"> + Utvidet utredning</w:t>
            </w:r>
          </w:p>
        </w:tc>
      </w:tr>
      <w:tr w14:paraId="04BDD30F" w14:textId="77777777" w:rsidTr="00BF2EC2">
        <w:tblPrEx>
          <w:tblW w:w="0" w:type="auto"/>
          <w:tblInd w:w="601" w:type="dxa"/>
          <w:tblLook w:val="04A0"/>
        </w:tblPrEx>
        <w:tc>
          <w:tcPr>
            <w:tcW w:w="3544" w:type="dxa"/>
          </w:tcPr>
          <w:p w:rsidR="007B5F12" w:rsidP="00BF2EC2" w14:paraId="163EDD55" w14:textId="77777777">
            <w:pPr>
              <w:ind w:left="0" w:firstLine="0"/>
            </w:pPr>
            <w:r w:rsidRPr="008D745C">
              <w:t xml:space="preserve">+ Anleggskostnad (AK) </w:t>
            </w:r>
          </w:p>
        </w:tc>
      </w:tr>
      <w:tr w14:paraId="72E024D1" w14:textId="77777777" w:rsidTr="00BF2EC2">
        <w:tblPrEx>
          <w:tblW w:w="0" w:type="auto"/>
          <w:tblInd w:w="601" w:type="dxa"/>
          <w:tblLook w:val="04A0"/>
        </w:tblPrEx>
        <w:tc>
          <w:tcPr>
            <w:tcW w:w="3544" w:type="dxa"/>
          </w:tcPr>
          <w:p w:rsidR="007B5F12" w:rsidP="00BF2EC2" w14:paraId="01569D60" w14:textId="77777777">
            <w:pPr>
              <w:ind w:left="0" w:firstLine="0"/>
            </w:pPr>
            <w:r w:rsidRPr="008D745C">
              <w:rPr>
                <w:rFonts w:eastAsia="Segoe UI Symbol"/>
              </w:rPr>
              <w:t>−</w:t>
            </w:r>
            <w:r w:rsidRPr="008D745C">
              <w:t xml:space="preserve"> Reinvesteringskostnad (RI) </w:t>
            </w:r>
          </w:p>
        </w:tc>
      </w:tr>
      <w:tr w14:paraId="172CDA2C" w14:textId="77777777" w:rsidTr="00BF2EC2">
        <w:tblPrEx>
          <w:tblW w:w="0" w:type="auto"/>
          <w:tblInd w:w="601" w:type="dxa"/>
          <w:tblLook w:val="04A0"/>
        </w:tblPrEx>
        <w:tc>
          <w:tcPr>
            <w:tcW w:w="3544" w:type="dxa"/>
            <w:tcBorders>
              <w:bottom w:val="single" w:sz="4" w:space="0" w:color="000000" w:themeColor="text1"/>
            </w:tcBorders>
          </w:tcPr>
          <w:p w:rsidR="007B5F12" w:rsidP="00BF2EC2" w14:paraId="1BF167EE" w14:textId="77777777">
            <w:pPr>
              <w:ind w:left="0" w:firstLine="0"/>
            </w:pPr>
            <w:r w:rsidRPr="00CE64E4">
              <w:t>+ Fremskyndingskostnad (FK)</w:t>
            </w:r>
          </w:p>
        </w:tc>
      </w:tr>
      <w:tr w14:paraId="46AAA42A" w14:textId="77777777" w:rsidTr="00BF2EC2">
        <w:tblPrEx>
          <w:tblW w:w="0" w:type="auto"/>
          <w:tblInd w:w="601" w:type="dxa"/>
          <w:tblLook w:val="04A0"/>
        </w:tblPrEx>
        <w:tc>
          <w:tcPr>
            <w:tcW w:w="3544" w:type="dxa"/>
            <w:tcBorders>
              <w:top w:val="single" w:sz="4" w:space="0" w:color="000000" w:themeColor="text1"/>
              <w:bottom w:val="double" w:sz="4" w:space="0" w:color="000000" w:themeColor="text1"/>
            </w:tcBorders>
          </w:tcPr>
          <w:p w:rsidR="007B5F12" w:rsidRPr="001B0920" w:rsidP="00BF2EC2" w14:paraId="2EBA931E" w14:textId="77777777">
            <w:pPr>
              <w:ind w:left="0" w:firstLine="0"/>
              <w:rPr>
                <w:b/>
                <w:bCs/>
              </w:rPr>
            </w:pPr>
            <w:r w:rsidRPr="001B0920">
              <w:rPr>
                <w:b/>
                <w:bCs/>
              </w:rPr>
              <w:t>= Kostnadsgrunnlag (KG)</w:t>
            </w:r>
          </w:p>
        </w:tc>
      </w:tr>
    </w:tbl>
    <w:p w:rsidR="007B5F12" w:rsidP="007B5F12" w14:paraId="1B68B6ED" w14:textId="77777777">
      <w:pPr>
        <w:ind w:left="0" w:firstLine="0"/>
      </w:pPr>
    </w:p>
    <w:p w:rsidR="007B5F12" w:rsidRPr="008D745C" w:rsidP="007B5F12" w14:paraId="1B3E6982" w14:textId="77777777">
      <w:pPr>
        <w:ind w:left="0" w:firstLine="0"/>
      </w:pPr>
    </w:p>
    <w:p w:rsidR="007B5F12" w:rsidRPr="008D745C" w:rsidP="003A38C1" w14:paraId="446257AC" w14:textId="77777777">
      <w:pPr>
        <w:pStyle w:val="Heading2"/>
      </w:pPr>
      <w:bookmarkStart w:id="67" w:name="_Toc130984390"/>
      <w:bookmarkStart w:id="68" w:name="_Toc256000029"/>
      <w:r>
        <w:t>M</w:t>
      </w:r>
      <w:r w:rsidRPr="008D745C">
        <w:t>etode</w:t>
      </w:r>
      <w:r>
        <w:t xml:space="preserve"> for å beregne kundens andel av kostnadsgrunnlaget</w:t>
      </w:r>
      <w:bookmarkEnd w:id="68"/>
      <w:bookmarkEnd w:id="67"/>
    </w:p>
    <w:p w:rsidR="007B5F12" w:rsidRPr="008D745C" w:rsidP="007B5F12" w14:paraId="0BCA4B36" w14:textId="77777777">
      <w:r w:rsidRPr="008D745C">
        <w:t xml:space="preserve">Anleggsbidraget er kundens andel av Kostnadsgrunnlaget (KG) </w:t>
      </w:r>
    </w:p>
    <w:p w:rsidR="007B5F12" w:rsidRPr="008D745C" w:rsidP="007B5F12" w14:paraId="6AB41568" w14:textId="77777777">
      <w:r w:rsidRPr="0010698D">
        <w:t>Tensio TS praktiserer</w:t>
      </w:r>
      <w:r w:rsidRPr="008D745C">
        <w:rPr>
          <w:b/>
        </w:rPr>
        <w:t xml:space="preserve"> 3 forskjellige</w:t>
      </w:r>
      <w:r>
        <w:rPr>
          <w:b/>
        </w:rPr>
        <w:t xml:space="preserve"> </w:t>
      </w:r>
      <w:r w:rsidRPr="00B4421B">
        <w:rPr>
          <w:b/>
        </w:rPr>
        <w:t>metoder</w:t>
      </w:r>
      <w:r w:rsidRPr="008D745C">
        <w:t xml:space="preserve"> for å fordele KG. For </w:t>
      </w:r>
      <w:r w:rsidRPr="008D745C">
        <w:rPr>
          <w:u w:val="single" w:color="000000"/>
        </w:rPr>
        <w:t>en</w:t>
      </w:r>
      <w:r w:rsidRPr="008D745C">
        <w:t xml:space="preserve"> nettinvestering vil det kunne benyttes forskjellige metoder for forskjellige nettnivå.  </w:t>
      </w:r>
    </w:p>
    <w:p w:rsidR="007B5F12" w:rsidRPr="008D745C" w:rsidP="007B5F12" w14:paraId="19A618DD" w14:textId="77777777">
      <w:r w:rsidRPr="008D745C">
        <w:t xml:space="preserve">Hvilken metode som legges til grunn i det enkelte tilfelle/nettnivå, er avhengig av kriteriene: </w:t>
      </w:r>
      <w:r w:rsidRPr="008D745C">
        <w:rPr>
          <w:color w:val="002060"/>
        </w:rPr>
        <w:t>kundetype</w:t>
      </w:r>
      <w:r w:rsidRPr="008D745C">
        <w:t xml:space="preserve">, </w:t>
      </w:r>
      <w:r w:rsidRPr="008D745C">
        <w:rPr>
          <w:color w:val="002060"/>
        </w:rPr>
        <w:t>antall kjente kunder</w:t>
      </w:r>
      <w:r w:rsidRPr="008D745C">
        <w:t xml:space="preserve">, forventet </w:t>
      </w:r>
      <w:r w:rsidRPr="008D745C">
        <w:rPr>
          <w:color w:val="002060"/>
        </w:rPr>
        <w:t xml:space="preserve">effektvekst </w:t>
      </w:r>
      <w:r w:rsidRPr="008D745C">
        <w:t xml:space="preserve">og nettanleggets </w:t>
      </w:r>
      <w:r w:rsidRPr="008D745C">
        <w:rPr>
          <w:color w:val="002060"/>
        </w:rPr>
        <w:t>effektfaktor</w:t>
      </w:r>
      <w:r w:rsidRPr="008D745C">
        <w:t xml:space="preserve"> </w:t>
      </w:r>
    </w:p>
    <w:p w:rsidR="007B5F12" w:rsidRPr="008D745C" w:rsidP="007B5F12" w14:paraId="1414A736" w14:textId="77777777">
      <w:r w:rsidRPr="008D745C">
        <w:t xml:space="preserve">  </w:t>
      </w:r>
    </w:p>
    <w:p w:rsidR="007B5F12" w:rsidRPr="00387BF6" w:rsidP="007B5F12" w14:paraId="775F7CAF" w14:textId="77777777">
      <w:pPr>
        <w:rPr>
          <w:b/>
          <w:bCs/>
        </w:rPr>
      </w:pPr>
      <w:r>
        <w:rPr>
          <w:b/>
          <w:bCs/>
        </w:rPr>
        <w:t>KRITERIER:</w:t>
      </w:r>
      <w:r w:rsidRPr="008D745C">
        <w:t xml:space="preserve"> </w:t>
      </w:r>
    </w:p>
    <w:p w:rsidR="007B5F12" w:rsidRPr="008D745C" w:rsidP="007B5F12" w14:paraId="253F3D03" w14:textId="77777777">
      <w:r w:rsidRPr="008D745C">
        <w:rPr>
          <w:b/>
        </w:rPr>
        <w:t>Kundetype</w:t>
      </w:r>
      <w:r w:rsidRPr="008D745C">
        <w:t xml:space="preserve">: Vi skiller mellom infrastrukturkunder og effektkunder.  </w:t>
      </w:r>
    </w:p>
    <w:p w:rsidR="007B5F12" w:rsidP="007B5F12" w14:paraId="06146440" w14:textId="77777777">
      <w:pPr>
        <w:pStyle w:val="ListParagraph"/>
        <w:numPr>
          <w:ilvl w:val="0"/>
          <w:numId w:val="4"/>
        </w:numPr>
        <w:ind w:right="475"/>
      </w:pPr>
      <w:r w:rsidRPr="006D23F1">
        <w:rPr>
          <w:b/>
          <w:bCs/>
          <w:u w:val="single"/>
        </w:rPr>
        <w:t>Infrastrukturkunder</w:t>
      </w:r>
      <w:r>
        <w:t xml:space="preserve"> er kunder som ikke har kjente effektbehov (typisk en kommune som ønsker å tilrettelegge for framtidige sluttbrukere samtidig som man bygger annen infrastruktur). </w:t>
      </w:r>
      <w:r>
        <w:br/>
      </w:r>
      <w:r>
        <w:br/>
        <w:t xml:space="preserve">Tensio har ikke leveringsplikt til infrastrukturkunder. Nettselskapet fastsetter og krever inn betaling i henhold til kontrollforskriftens </w:t>
      </w:r>
      <w:r>
        <w:rPr>
          <w:i/>
          <w:iCs/>
        </w:rPr>
        <w:t xml:space="preserve"> </w:t>
      </w:r>
      <w:r w:rsidRPr="00EF7A35">
        <w:rPr>
          <w:i/>
          <w:iCs/>
        </w:rPr>
        <w:t>§ 17-4 b) Kostnadene når kunden ber om tjenester som normalt ikke kan forventes levert.</w:t>
      </w:r>
      <w:r>
        <w:t xml:space="preserve">  Paragraf 16-8 og 16-9 skal ikke anvendes, det medfører at kostnadsgrunnlaget dekkes av infrastrukturkunden og at det i</w:t>
      </w:r>
      <w:r>
        <w:t xml:space="preserve">kke opprettes 10årsregel. Infrastrukturkunden kan ikke reservere kapasiteten i anlegget. </w:t>
      </w:r>
    </w:p>
    <w:p w:rsidR="007B5F12" w:rsidRPr="008D745C" w:rsidP="007B5F12" w14:paraId="57569BA7" w14:textId="77777777">
      <w:pPr>
        <w:pStyle w:val="ListParagraph"/>
        <w:ind w:left="360" w:firstLine="0"/>
      </w:pPr>
    </w:p>
    <w:p w:rsidR="007B5F12" w:rsidRPr="008D745C" w:rsidP="007B5F12" w14:paraId="309E3C8C" w14:textId="77777777">
      <w:pPr>
        <w:pStyle w:val="ListParagraph"/>
        <w:numPr>
          <w:ilvl w:val="0"/>
          <w:numId w:val="4"/>
        </w:numPr>
        <w:ind w:right="475"/>
      </w:pPr>
      <w:r w:rsidRPr="006D23F1">
        <w:rPr>
          <w:b/>
          <w:bCs/>
          <w:u w:val="single" w:color="000000"/>
        </w:rPr>
        <w:t>Effektkunder</w:t>
      </w:r>
      <w:r w:rsidRPr="008D745C">
        <w:t xml:space="preserve"> er kunder som har ett kjent effektbehov  </w:t>
      </w:r>
    </w:p>
    <w:p w:rsidR="007B5F12" w:rsidRPr="008D745C" w:rsidP="007B5F12" w14:paraId="41858965" w14:textId="77777777">
      <w:r w:rsidRPr="008D745C">
        <w:t xml:space="preserve"> </w:t>
      </w:r>
    </w:p>
    <w:p w:rsidR="007B5F12" w:rsidRPr="0055677E" w:rsidP="007B5F12" w14:paraId="3AF4CCEC" w14:textId="77777777">
      <w:pPr>
        <w:rPr>
          <w:b/>
          <w:bCs/>
        </w:rPr>
      </w:pPr>
      <w:r w:rsidRPr="0055677E">
        <w:rPr>
          <w:b/>
          <w:bCs/>
        </w:rPr>
        <w:t xml:space="preserve">Antall kjente kunder:  </w:t>
      </w:r>
    </w:p>
    <w:p w:rsidR="007B5F12" w:rsidRPr="008D745C" w:rsidP="007B5F12" w14:paraId="5C663C6B" w14:textId="77777777">
      <w:pPr>
        <w:pStyle w:val="ListParagraph"/>
        <w:numPr>
          <w:ilvl w:val="0"/>
          <w:numId w:val="4"/>
        </w:numPr>
        <w:ind w:right="475"/>
      </w:pPr>
      <w:r w:rsidRPr="00DE62A0">
        <w:rPr>
          <w:b/>
        </w:rPr>
        <w:t>En kunde:</w:t>
      </w:r>
      <w:r w:rsidRPr="008D745C">
        <w:t xml:space="preserve"> Kun en kunde/sluttbruker som skal benytte nettanlegget som finansieres med anleggsbidrag. </w:t>
      </w:r>
    </w:p>
    <w:p w:rsidR="007B5F12" w:rsidRPr="008D745C" w:rsidP="007B5F12" w14:paraId="5928C809" w14:textId="77777777">
      <w:pPr>
        <w:pStyle w:val="ListParagraph"/>
        <w:numPr>
          <w:ilvl w:val="0"/>
          <w:numId w:val="4"/>
        </w:numPr>
        <w:ind w:right="475"/>
      </w:pPr>
      <w:r w:rsidRPr="00DE62A0">
        <w:rPr>
          <w:b/>
          <w:u w:color="000000"/>
        </w:rPr>
        <w:t>Flere kunder</w:t>
      </w:r>
      <w:r w:rsidRPr="00DE62A0">
        <w:rPr>
          <w:u w:color="000000"/>
        </w:rPr>
        <w:t>:</w:t>
      </w:r>
      <w:r w:rsidRPr="008D745C">
        <w:t xml:space="preserve"> Flere kjente kunder/sluttbrukere, innbefattet eksisterende anlegg som ikke har tilfredsstillende leveringskvalitet i henhold til FOL, og som blir oppgradert til FOL i forbindelse med etablering av det anleggsbidragsfinansierte nettanlegget (TEN vil enten ta sin andel gjennom reinvesteringsberegningen (der slik kunde allerede er en del av et nettanlegg som forsterkes), eller Tensio TS vil ta sin andel av KG dersom kunden ikke allerede er en del av nettanlegg som forsterkes. </w:t>
      </w:r>
    </w:p>
    <w:p w:rsidR="007B5F12" w:rsidRPr="008D745C" w:rsidP="007B5F12" w14:paraId="0C8EE215" w14:textId="77777777"/>
    <w:p w:rsidR="007B5F12" w:rsidRPr="0055677E" w:rsidP="007B5F12" w14:paraId="6083E6D1" w14:textId="77777777">
      <w:pPr>
        <w:rPr>
          <w:b/>
          <w:bCs/>
        </w:rPr>
      </w:pPr>
      <w:r w:rsidRPr="0055677E">
        <w:rPr>
          <w:b/>
          <w:bCs/>
        </w:rPr>
        <w:t xml:space="preserve">Forventet effektvekst </w:t>
      </w:r>
    </w:p>
    <w:p w:rsidR="007B5F12" w:rsidRPr="008D745C" w:rsidP="007B5F12" w14:paraId="3F3AB9B1" w14:textId="77777777">
      <w:pPr>
        <w:pStyle w:val="ListParagraph"/>
        <w:numPr>
          <w:ilvl w:val="0"/>
          <w:numId w:val="4"/>
        </w:numPr>
        <w:ind w:right="475"/>
      </w:pPr>
      <w:r w:rsidRPr="008D745C">
        <w:t>Tensio TS sin oppfatning av om det vil tilknytes flere sluttbrukere til nettanlegget i løpet av 10årsregelen</w:t>
      </w:r>
    </w:p>
    <w:p w:rsidR="007B5F12" w:rsidRPr="008D745C" w:rsidP="007B5F12" w14:paraId="4AF28601" w14:textId="77777777">
      <w:pPr>
        <w:pStyle w:val="ListParagraph"/>
        <w:numPr>
          <w:ilvl w:val="0"/>
          <w:numId w:val="4"/>
        </w:numPr>
        <w:ind w:right="475"/>
      </w:pPr>
      <w:r w:rsidRPr="008D745C">
        <w:t xml:space="preserve">Det skal brukes mest mulig objektive kriterier for å sannsynliggjøre eventuelle flere sluttbrukere </w:t>
      </w:r>
    </w:p>
    <w:p w:rsidR="007B5F12" w:rsidRPr="008D745C" w:rsidP="007B5F12" w14:paraId="550BB1DF" w14:textId="77777777">
      <w:r w:rsidRPr="008D745C">
        <w:t xml:space="preserve"> </w:t>
      </w:r>
    </w:p>
    <w:p w:rsidR="007B5F12" w:rsidRPr="0055677E" w:rsidP="007B5F12" w14:paraId="3CB3AC3A" w14:textId="77777777">
      <w:pPr>
        <w:rPr>
          <w:b/>
          <w:bCs/>
        </w:rPr>
      </w:pPr>
      <w:r w:rsidRPr="0055677E">
        <w:rPr>
          <w:b/>
          <w:bCs/>
        </w:rPr>
        <w:t xml:space="preserve">Nettanleggets effektfaktor </w:t>
      </w:r>
    </w:p>
    <w:p w:rsidR="007B5F12" w:rsidRPr="008D745C" w:rsidP="007B5F12" w14:paraId="53E2FC58" w14:textId="77777777">
      <w:pPr>
        <w:pStyle w:val="ListParagraph"/>
        <w:numPr>
          <w:ilvl w:val="0"/>
          <w:numId w:val="4"/>
        </w:numPr>
        <w:ind w:right="475"/>
      </w:pPr>
      <w:r w:rsidRPr="008D745C">
        <w:t xml:space="preserve">En beregnet verdi med utgangspunkt i kjente kunders effektbestilling delt på nettanleggets økte nettkapasitet </w:t>
      </w:r>
    </w:p>
    <w:p w:rsidR="007B5F12" w:rsidRPr="008D745C" w:rsidP="007B5F12" w14:paraId="45F79C8D" w14:textId="77777777">
      <w:r w:rsidRPr="008D745C">
        <w:t xml:space="preserve">  </w:t>
      </w:r>
    </w:p>
    <w:p w:rsidR="007B5F12" w:rsidRPr="008D745C" w:rsidP="007B5F12" w14:paraId="473DAC3B" w14:textId="77777777">
      <w:pPr>
        <w:rPr>
          <w:sz w:val="2"/>
        </w:rPr>
      </w:pPr>
      <w:r w:rsidRPr="008D745C">
        <w:t xml:space="preserve"> </w:t>
      </w:r>
    </w:p>
    <w:p w:rsidR="007B5F12" w:rsidRPr="003C1E2F" w:rsidP="007B5F12" w14:paraId="24053990" w14:textId="77777777">
      <w:pPr>
        <w:keepNext/>
        <w:keepLines/>
        <w:spacing w:line="247" w:lineRule="auto"/>
        <w:ind w:right="476"/>
        <w:rPr>
          <w:b/>
          <w:bCs/>
        </w:rPr>
      </w:pPr>
      <w:r>
        <w:rPr>
          <w:b/>
          <w:bCs/>
        </w:rPr>
        <w:t>METODER</w:t>
      </w:r>
      <w:r w:rsidRPr="003C1E2F">
        <w:rPr>
          <w:b/>
          <w:bCs/>
        </w:rPr>
        <w:t xml:space="preserve">: </w:t>
      </w:r>
    </w:p>
    <w:p w:rsidR="007B5F12" w:rsidRPr="008D745C" w:rsidP="007B5F12" w14:paraId="777E12E4" w14:textId="77777777">
      <w:pPr>
        <w:pStyle w:val="ListParagraph"/>
        <w:keepNext/>
        <w:keepLines/>
        <w:numPr>
          <w:ilvl w:val="0"/>
          <w:numId w:val="18"/>
        </w:numPr>
        <w:spacing w:line="247" w:lineRule="auto"/>
        <w:ind w:right="476"/>
      </w:pPr>
      <w:r w:rsidRPr="008D745C">
        <w:t xml:space="preserve">16.8 </w:t>
      </w:r>
      <w:r w:rsidRPr="008D745C">
        <w:rPr>
          <w:color w:val="002060"/>
        </w:rPr>
        <w:t>Kundespesifikt anlegg</w:t>
      </w:r>
      <w:r w:rsidRPr="008D745C">
        <w:t xml:space="preserve">, benyttes når: </w:t>
      </w:r>
    </w:p>
    <w:p w:rsidR="007B5F12" w:rsidRPr="008D745C" w:rsidP="007B5F12" w14:paraId="3AA79CE7" w14:textId="77777777">
      <w:pPr>
        <w:pStyle w:val="ListParagraph"/>
        <w:keepNext/>
        <w:keepLines/>
        <w:numPr>
          <w:ilvl w:val="1"/>
          <w:numId w:val="18"/>
        </w:numPr>
        <w:spacing w:line="247" w:lineRule="auto"/>
        <w:ind w:right="476"/>
      </w:pPr>
      <w:r w:rsidRPr="008D745C">
        <w:t xml:space="preserve">Det investeres i nettanlegg der kunden er eneste kjente sluttbruker </w:t>
      </w:r>
    </w:p>
    <w:p w:rsidR="007B5F12" w:rsidRPr="008D745C" w:rsidP="007B5F12" w14:paraId="4B3B2F4C" w14:textId="77777777">
      <w:pPr>
        <w:pStyle w:val="ListParagraph"/>
        <w:keepNext/>
        <w:keepLines/>
        <w:numPr>
          <w:ilvl w:val="1"/>
          <w:numId w:val="18"/>
        </w:numPr>
        <w:spacing w:line="247" w:lineRule="auto"/>
        <w:ind w:right="476"/>
      </w:pPr>
      <w:r w:rsidRPr="008D745C">
        <w:t xml:space="preserve">Nettanlegget er dimensjonert etter Tensio TS sin minste standard i forhold til kundens effektbehov </w:t>
      </w:r>
    </w:p>
    <w:p w:rsidR="007B5F12" w:rsidRPr="008D745C" w:rsidP="007B5F12" w14:paraId="3892473C" w14:textId="77777777">
      <w:pPr>
        <w:pStyle w:val="ListParagraph"/>
        <w:keepNext/>
        <w:keepLines/>
        <w:numPr>
          <w:ilvl w:val="1"/>
          <w:numId w:val="18"/>
        </w:numPr>
        <w:spacing w:line="247" w:lineRule="auto"/>
        <w:ind w:right="476"/>
      </w:pPr>
      <w:r w:rsidRPr="008D745C">
        <w:t xml:space="preserve">Det er lite sannsynlig at flere kunder tilknyttes/får økt kapasitet i løpet av 10årsregelen </w:t>
      </w:r>
    </w:p>
    <w:p w:rsidR="007B5F12" w:rsidRPr="008D745C" w:rsidP="007B5F12" w14:paraId="5EC38D5B" w14:textId="77777777">
      <w:pPr>
        <w:pStyle w:val="ListParagraph"/>
        <w:keepNext/>
        <w:keepLines/>
        <w:numPr>
          <w:ilvl w:val="2"/>
          <w:numId w:val="18"/>
        </w:numPr>
        <w:spacing w:line="247" w:lineRule="auto"/>
        <w:ind w:right="476"/>
      </w:pPr>
      <w:r w:rsidRPr="008D745C">
        <w:t xml:space="preserve">Nettanleggets effektfaktor blir lavere enn 0,5 selv om det er sannsynlig med flere kunder i løpet av 10-årsregelen. </w:t>
      </w:r>
    </w:p>
    <w:p w:rsidR="007B5F12" w:rsidRPr="008D745C" w:rsidP="007B5F12" w14:paraId="0F12BD9E" w14:textId="77777777">
      <w:r w:rsidRPr="008D745C">
        <w:rPr>
          <w:noProof/>
        </w:rPr>
        <w:drawing>
          <wp:inline distT="0" distB="0" distL="0" distR="0">
            <wp:extent cx="2046224" cy="475615"/>
            <wp:effectExtent l="0" t="0" r="0" b="0"/>
            <wp:docPr id="1757" name="Bilde 1757" descr="Et bilde som inneholder tekst, Font, hvit, skjermbilde&#10;&#10;Automatisk generert beskrivelse"/>
            <wp:cNvGraphicFramePr/>
            <a:graphic xmlns:a="http://schemas.openxmlformats.org/drawingml/2006/main">
              <a:graphicData uri="http://schemas.openxmlformats.org/drawingml/2006/picture">
                <pic:pic xmlns:pic="http://schemas.openxmlformats.org/drawingml/2006/picture">
                  <pic:nvPicPr>
                    <pic:cNvPr id="1757" name="Bilde 1757" descr="Et bilde som inneholder tekst, Font, hvit, skjermbilde&#10;&#10;Automatisk generert beskrivels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2046224" cy="475615"/>
                    </a:xfrm>
                    <a:prstGeom prst="rect">
                      <a:avLst/>
                    </a:prstGeom>
                  </pic:spPr>
                </pic:pic>
              </a:graphicData>
            </a:graphic>
          </wp:inline>
        </w:drawing>
      </w:r>
      <w:r w:rsidRPr="008D745C">
        <w:rPr>
          <w:rFonts w:cstheme="minorBidi"/>
        </w:rPr>
        <w:t xml:space="preserve"> </w:t>
      </w:r>
    </w:p>
    <w:p w:rsidR="007B5F12" w:rsidRPr="008D745C" w:rsidP="007B5F12" w14:paraId="5D011CE8" w14:textId="77777777">
      <w:r w:rsidRPr="008D745C">
        <w:t xml:space="preserve"> </w:t>
      </w:r>
    </w:p>
    <w:p w:rsidR="007B5F12" w:rsidRPr="008D745C" w:rsidP="007B5F12" w14:paraId="0EBEC734" w14:textId="77777777">
      <w:pPr>
        <w:pStyle w:val="ListParagraph"/>
        <w:keepNext/>
        <w:keepLines/>
        <w:numPr>
          <w:ilvl w:val="0"/>
          <w:numId w:val="18"/>
        </w:numPr>
        <w:ind w:right="475" w:hanging="357"/>
      </w:pPr>
      <w:r w:rsidRPr="008D745C">
        <w:t xml:space="preserve">16.9 Fellesanlegg fullfordelt, benyttes når:  </w:t>
      </w:r>
    </w:p>
    <w:p w:rsidR="007B5F12" w:rsidP="007B5F12" w14:paraId="47ECBDFA" w14:textId="77777777">
      <w:pPr>
        <w:pStyle w:val="ListParagraph"/>
        <w:keepNext/>
        <w:keepLines/>
        <w:numPr>
          <w:ilvl w:val="1"/>
          <w:numId w:val="18"/>
        </w:numPr>
        <w:ind w:right="475" w:hanging="357"/>
      </w:pPr>
      <w:r w:rsidRPr="008D745C">
        <w:t>Det investeres i nettanlegg med flere kjente sluttbrukere</w:t>
      </w:r>
      <w:r>
        <w:t>.</w:t>
      </w:r>
    </w:p>
    <w:p w:rsidR="007B5F12" w:rsidRPr="008D745C" w:rsidP="007B5F12" w14:paraId="6041007A" w14:textId="77777777">
      <w:pPr>
        <w:pStyle w:val="ListParagraph"/>
        <w:keepNext/>
        <w:keepLines/>
        <w:numPr>
          <w:ilvl w:val="1"/>
          <w:numId w:val="18"/>
        </w:numPr>
        <w:spacing w:line="247" w:lineRule="auto"/>
        <w:ind w:right="476" w:hanging="357"/>
      </w:pPr>
      <w:r w:rsidRPr="008D745C">
        <w:t>Nettanlegget er dimensjonert etter Tensio TS sin minste standard i forhold til kunden</w:t>
      </w:r>
      <w:r>
        <w:t>e</w:t>
      </w:r>
      <w:r w:rsidRPr="008D745C">
        <w:t xml:space="preserve">s effektbehov </w:t>
      </w:r>
    </w:p>
    <w:p w:rsidR="007B5F12" w:rsidRPr="008D745C" w:rsidP="007B5F12" w14:paraId="38BC2E4C" w14:textId="77777777">
      <w:pPr>
        <w:pStyle w:val="ListParagraph"/>
        <w:keepNext/>
        <w:keepLines/>
        <w:numPr>
          <w:ilvl w:val="1"/>
          <w:numId w:val="18"/>
        </w:numPr>
        <w:spacing w:line="247" w:lineRule="auto"/>
        <w:ind w:right="476" w:hanging="357"/>
      </w:pPr>
      <w:r w:rsidRPr="008D745C">
        <w:t xml:space="preserve">Det er lite sannsynlig at flere kunder tilknyttes/får økt kapasitet i løpet av 10årsregelen </w:t>
      </w:r>
    </w:p>
    <w:p w:rsidR="007B5F12" w:rsidRPr="008D745C" w:rsidP="007B5F12" w14:paraId="2648FB9E" w14:textId="77777777">
      <w:pPr>
        <w:pStyle w:val="ListParagraph"/>
        <w:keepNext/>
        <w:keepLines/>
        <w:numPr>
          <w:ilvl w:val="2"/>
          <w:numId w:val="18"/>
        </w:numPr>
        <w:spacing w:line="247" w:lineRule="auto"/>
        <w:ind w:right="476" w:hanging="357"/>
      </w:pPr>
      <w:r w:rsidRPr="008D745C">
        <w:t xml:space="preserve">Nettanleggets effektfaktor blir lavere enn 0,5 selv om det er sannsynlig med flere kunder i løpet av 10-årsregelen. </w:t>
      </w:r>
    </w:p>
    <w:p w:rsidR="007B5F12" w:rsidRPr="008D745C" w:rsidP="007B5F12" w14:paraId="58E9A65A" w14:textId="77777777">
      <w:r w:rsidRPr="008D745C">
        <w:rPr>
          <w:noProof/>
        </w:rPr>
        <w:drawing>
          <wp:inline distT="0" distB="0" distL="0" distR="0">
            <wp:extent cx="2439118" cy="667910"/>
            <wp:effectExtent l="0" t="0" r="0" b="0"/>
            <wp:docPr id="1759" name="Bilde 1759" descr="Et bilde som inneholder tekst, Font, skjermbilde, hvit&#10;&#10;Automatisk generert beskrivelse"/>
            <wp:cNvGraphicFramePr/>
            <a:graphic xmlns:a="http://schemas.openxmlformats.org/drawingml/2006/main">
              <a:graphicData uri="http://schemas.openxmlformats.org/drawingml/2006/picture">
                <pic:pic xmlns:pic="http://schemas.openxmlformats.org/drawingml/2006/picture">
                  <pic:nvPicPr>
                    <pic:cNvPr id="1759" name="Bilde 1759" descr="Et bilde som inneholder tekst, Font, skjermbilde, hvit&#10;&#10;Automatisk generert beskrivels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2439118" cy="667910"/>
                    </a:xfrm>
                    <a:prstGeom prst="rect">
                      <a:avLst/>
                    </a:prstGeom>
                  </pic:spPr>
                </pic:pic>
              </a:graphicData>
            </a:graphic>
          </wp:inline>
        </w:drawing>
      </w:r>
      <w:r w:rsidRPr="008D745C">
        <w:rPr>
          <w:rFonts w:cstheme="minorBidi"/>
        </w:rPr>
        <w:t xml:space="preserve"> </w:t>
      </w:r>
    </w:p>
    <w:p w:rsidR="007B5F12" w:rsidRPr="008D745C" w:rsidP="007B5F12" w14:paraId="169FAF40" w14:textId="77777777">
      <w:r w:rsidRPr="008D745C">
        <w:t xml:space="preserve"> </w:t>
      </w:r>
    </w:p>
    <w:p w:rsidR="007B5F12" w:rsidRPr="008D745C" w:rsidP="007B5F12" w14:paraId="0712FAF4" w14:textId="77777777">
      <w:pPr>
        <w:pStyle w:val="ListParagraph"/>
        <w:numPr>
          <w:ilvl w:val="0"/>
          <w:numId w:val="18"/>
        </w:numPr>
        <w:ind w:right="475"/>
      </w:pPr>
      <w:r w:rsidRPr="008D745C">
        <w:t xml:space="preserve">16.9 </w:t>
      </w:r>
      <w:r w:rsidRPr="008D745C">
        <w:rPr>
          <w:color w:val="002060"/>
        </w:rPr>
        <w:t>Fellesanlegg</w:t>
      </w:r>
      <w:r w:rsidRPr="008D745C">
        <w:t xml:space="preserve">, benyttes når </w:t>
      </w:r>
    </w:p>
    <w:p w:rsidR="007B5F12" w:rsidRPr="008D745C" w:rsidP="007B5F12" w14:paraId="7E3207CD" w14:textId="77777777">
      <w:pPr>
        <w:pStyle w:val="ListParagraph"/>
        <w:numPr>
          <w:ilvl w:val="1"/>
          <w:numId w:val="18"/>
        </w:numPr>
        <w:ind w:right="475"/>
      </w:pPr>
      <w:r w:rsidRPr="008D745C">
        <w:t xml:space="preserve">Det investeres i nettanlegg med en eller flere kunder </w:t>
      </w:r>
    </w:p>
    <w:p w:rsidR="007B5F12" w:rsidRPr="008D745C" w:rsidP="007B5F12" w14:paraId="60624745" w14:textId="77777777">
      <w:pPr>
        <w:pStyle w:val="ListParagraph"/>
        <w:numPr>
          <w:ilvl w:val="1"/>
          <w:numId w:val="18"/>
        </w:numPr>
        <w:ind w:right="475"/>
      </w:pPr>
      <w:r w:rsidRPr="008D745C">
        <w:t>Det er sannsynlig at flere kunder tilknyttes/får økt kapasitet i løpet av 10årsregelen (i)</w:t>
      </w:r>
      <w:r w:rsidRPr="00DE62A0">
        <w:rPr>
          <w:rFonts w:eastAsia="Arial"/>
        </w:rPr>
        <w:t xml:space="preserve"> </w:t>
      </w:r>
      <w:r w:rsidRPr="008D745C">
        <w:t xml:space="preserve">Nettanleggets effektfaktor blir høyere enn 0,5 i løpet av 10-årsregelen. </w:t>
      </w:r>
    </w:p>
    <w:p w:rsidR="007B5F12" w:rsidP="007B5F12" w14:paraId="35550F63" w14:textId="77777777">
      <w:pPr>
        <w:rPr>
          <w:rFonts w:cstheme="minorBidi"/>
        </w:rPr>
      </w:pPr>
      <w:r w:rsidRPr="008D745C">
        <w:rPr>
          <w:noProof/>
        </w:rPr>
        <w:drawing>
          <wp:inline distT="0" distB="0" distL="0" distR="0">
            <wp:extent cx="1852654" cy="370682"/>
            <wp:effectExtent l="0" t="0" r="0" b="0"/>
            <wp:docPr id="1761" name="Bilde 1761" descr="Et bilde som inneholder tekst, Font, skjermbilde, hvit&#10;&#10;Automatisk generert beskrivelse"/>
            <wp:cNvGraphicFramePr/>
            <a:graphic xmlns:a="http://schemas.openxmlformats.org/drawingml/2006/main">
              <a:graphicData uri="http://schemas.openxmlformats.org/drawingml/2006/picture">
                <pic:pic xmlns:pic="http://schemas.openxmlformats.org/drawingml/2006/picture">
                  <pic:nvPicPr>
                    <pic:cNvPr id="1761" name="Bilde 1761" descr="Et bilde som inneholder tekst, Font, skjermbilde, hvit&#10;&#10;Automatisk generert beskrivels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852654" cy="370682"/>
                    </a:xfrm>
                    <a:prstGeom prst="rect">
                      <a:avLst/>
                    </a:prstGeom>
                  </pic:spPr>
                </pic:pic>
              </a:graphicData>
            </a:graphic>
          </wp:inline>
        </w:drawing>
      </w:r>
      <w:r w:rsidRPr="008D745C">
        <w:rPr>
          <w:rFonts w:cstheme="minorBidi"/>
        </w:rPr>
        <w:t xml:space="preserve"> </w:t>
      </w:r>
    </w:p>
    <w:p w:rsidR="007B5F12" w:rsidRPr="008D745C" w:rsidP="007B5F12" w14:paraId="1B3C2355" w14:textId="77777777"/>
    <w:p w:rsidR="007B5F12" w:rsidRPr="008D745C" w:rsidP="007B5F12" w14:paraId="6D24299A" w14:textId="77777777">
      <w:pPr>
        <w:rPr>
          <w:sz w:val="4"/>
        </w:rPr>
      </w:pPr>
      <w:r w:rsidRPr="008D745C">
        <w:t xml:space="preserve"> </w:t>
      </w:r>
    </w:p>
    <w:p w:rsidR="007B5F12" w:rsidRPr="008D745C" w:rsidP="007B5F12" w14:paraId="1F5CDBDA" w14:textId="77777777">
      <w:r>
        <w:rPr>
          <w:rFonts w:eastAsia="Wingdings 3"/>
        </w:rPr>
        <w:t>Δ</w:t>
      </w:r>
      <w:r w:rsidRPr="008D745C">
        <w:t xml:space="preserve">C = Teoretisk beregnet </w:t>
      </w:r>
      <w:r>
        <w:t>kapasitetsøkning</w:t>
      </w:r>
    </w:p>
    <w:p w:rsidR="007B5F12" w:rsidRPr="008D745C" w:rsidP="007B5F12" w14:paraId="486B0B0B" w14:textId="77777777">
      <w:pPr>
        <w:rPr>
          <w:sz w:val="10"/>
        </w:rPr>
      </w:pPr>
      <w:r w:rsidRPr="008D745C">
        <w:t xml:space="preserve">  </w:t>
      </w:r>
    </w:p>
    <w:p w:rsidR="007B5F12" w:rsidRPr="008D745C" w:rsidP="007B5F12" w14:paraId="4D937E76" w14:textId="77777777">
      <w:r w:rsidRPr="008D745C">
        <w:rPr>
          <w:b/>
        </w:rPr>
        <w:t>Ved metode 1 eller 2</w:t>
      </w:r>
      <w:r w:rsidRPr="008D745C">
        <w:t xml:space="preserve"> dekker aktuelle sluttbrukere 100% av KG. Anvendes metode 2 (flere kjente sluttbrukere) fordeles 100% av KG på sluttbrukerne utfra sluttbrukernes relative effektøkning. </w:t>
      </w:r>
    </w:p>
    <w:p w:rsidR="007B5F12" w:rsidRPr="008D745C" w:rsidP="007B5F12" w14:paraId="2E674A10" w14:textId="77777777">
      <w:r w:rsidRPr="008D745C">
        <w:t xml:space="preserve">Dersom metode 1 er anvendt og nye kunder bestiller ny nettilknytning på det eksisterende anlegget er ikke metode 1 aktuell lenger da det blir flere kunder på anlegget, metoden skal da endres enten til 2 eller 3. </w:t>
      </w:r>
    </w:p>
    <w:p w:rsidR="007B5F12" w:rsidRPr="008D745C" w:rsidP="007B5F12" w14:paraId="4B910F72" w14:textId="77777777">
      <w:r w:rsidRPr="008D745C">
        <w:t xml:space="preserve">Dersom metode 2 er anvendt skal nye kunder som senere bestiller ny nettilknytning, eller økt effekt til eksisterende anlegg, belastes sin relative andel av KG dersom slike bestillinger kommer i løpet av 10-årsregelen. Tensio TS er i så fall pliktig å tilbakebetale eksisterende anleggseiere tilsvarende beløp, fordelt på de eksisterende anleggseieres relative effektuttak. </w:t>
      </w:r>
    </w:p>
    <w:p w:rsidR="007B5F12" w:rsidRPr="008D745C" w:rsidP="007B5F12" w14:paraId="170A54C5" w14:textId="77777777">
      <w:r w:rsidRPr="008D745C">
        <w:t xml:space="preserve"> </w:t>
      </w:r>
    </w:p>
    <w:p w:rsidR="007B5F12" w:rsidRPr="008D745C" w:rsidP="007B5F12" w14:paraId="0262C091" w14:textId="77777777">
      <w:r w:rsidRPr="008D745C">
        <w:rPr>
          <w:b/>
        </w:rPr>
        <w:t>Ved metode 3</w:t>
      </w:r>
      <w:r w:rsidRPr="008D745C">
        <w:t xml:space="preserve"> fordeles KG på aktuelle sluttbrukere utfra den enkelte sluttbrukers bestilte effektøkning delt på det aktuelle nettnivåets effektøkning. </w:t>
      </w:r>
    </w:p>
    <w:p w:rsidR="007B5F12" w:rsidRPr="008D745C" w:rsidP="007B5F12" w14:paraId="21823A98" w14:textId="77777777">
      <w:r w:rsidRPr="008D745C">
        <w:t xml:space="preserve">Metode 3 betyr at KG vil bli 100% fakturert først når nettanleggets kapasitet er fullt ut beslaglagt av nye kunders bestilte effektøkning. </w:t>
      </w:r>
    </w:p>
    <w:p w:rsidR="007B5F12" w:rsidRPr="008D745C" w:rsidP="007B5F12" w14:paraId="1C0E8A60" w14:textId="77777777">
      <w:r w:rsidRPr="008D745C">
        <w:t>Kostnadsgrunnlaget for investeringer i regional- og transmisjonsnettet skal multipliseres med en reduksjonsfaktor lik 0,5. Kundene skal maksimalt dekke 50% av KG ved metode 3.</w:t>
      </w:r>
    </w:p>
    <w:p w:rsidR="007B5F12" w:rsidRPr="008D745C" w:rsidP="007B5F12" w14:paraId="74DF5558" w14:textId="77777777">
      <w:r w:rsidRPr="008D745C">
        <w:t xml:space="preserve"> </w:t>
      </w:r>
    </w:p>
    <w:p w:rsidR="007B5F12" w:rsidRPr="008D745C" w:rsidP="007B5F12" w14:paraId="36DA1452" w14:textId="77777777">
      <w:r w:rsidRPr="008D745C">
        <w:t xml:space="preserve">Uavhengig av metoder opphører Tensio TS sin plikt til å beregne anleggsbidrag når en av følgende to kriterier inntreffer: </w:t>
      </w:r>
    </w:p>
    <w:p w:rsidR="007B5F12" w:rsidRPr="008D745C" w:rsidP="007B5F12" w14:paraId="674A514C" w14:textId="77777777">
      <w:pPr>
        <w:pStyle w:val="ListParagraph"/>
        <w:numPr>
          <w:ilvl w:val="0"/>
          <w:numId w:val="19"/>
        </w:numPr>
        <w:ind w:right="475"/>
      </w:pPr>
      <w:r w:rsidRPr="008D745C">
        <w:t xml:space="preserve">Det har gått 10 år eller mer siden det anleggsbidragsfinansierte nettanlegget ble spenningssatt og tatt i bruk (start 10årsregel) </w:t>
      </w:r>
    </w:p>
    <w:p w:rsidR="007B5F12" w:rsidRPr="008D745C" w:rsidP="007B5F12" w14:paraId="291DC3B3" w14:textId="77777777">
      <w:pPr>
        <w:pStyle w:val="ListParagraph"/>
        <w:numPr>
          <w:ilvl w:val="0"/>
          <w:numId w:val="19"/>
        </w:numPr>
        <w:ind w:right="475"/>
        <w:rPr>
          <w:sz w:val="16"/>
        </w:rPr>
      </w:pPr>
      <w:r w:rsidRPr="008D745C">
        <w:t>Nettanleggets teoretiske kapasitet er fullt ut beslaglagt av sluttbrukere som bruker nettanlegget</w:t>
      </w:r>
    </w:p>
    <w:p w:rsidR="007B5F12" w:rsidRPr="0007260C" w:rsidP="007B5F12" w14:paraId="75E983DD" w14:textId="77777777">
      <w:pPr>
        <w:pStyle w:val="ListParagraph"/>
      </w:pPr>
      <w:r w:rsidRPr="008D745C">
        <w:t>Velger Tensio TS</w:t>
      </w:r>
      <w:r w:rsidRPr="008D745C">
        <w:rPr>
          <w:sz w:val="14"/>
        </w:rPr>
        <w:t xml:space="preserve"> </w:t>
      </w:r>
      <w:r w:rsidRPr="008D745C">
        <w:t xml:space="preserve">å gi sluttbrukere mere effekt i ett nettanlegg som teoretisk sett ikke har mere kapasitet, uten å investere (forsterke) nettanlegget, skal det ikke kreves anleggsbidrag fra kunden. </w:t>
      </w:r>
      <w:r w:rsidRPr="008D745C">
        <w:br/>
        <w:t xml:space="preserve">I slike tilfeller er det nettselskapet (Tensio TS) som bærer risikoen med at nettanlegget er dimensjonert for å kunne levere effekt utover det eksisterende brukere tar ut av nettet. </w:t>
      </w:r>
    </w:p>
    <w:p w:rsidR="007B5F12" w:rsidRPr="008D745C" w:rsidP="007B5F12" w14:paraId="1A74AD53" w14:textId="77777777"/>
    <w:p w:rsidR="007B5F12" w:rsidRPr="008D745C" w:rsidP="003A38C1" w14:paraId="0929FC55" w14:textId="77777777">
      <w:pPr>
        <w:pStyle w:val="Heading2"/>
      </w:pPr>
      <w:bookmarkStart w:id="69" w:name="_Toc130984391"/>
      <w:bookmarkStart w:id="70" w:name="_Toc256000030"/>
      <w:r w:rsidRPr="008D745C">
        <w:t>Teoretiske effekter i distribusjonsnettet</w:t>
      </w:r>
      <w:bookmarkEnd w:id="70"/>
      <w:bookmarkEnd w:id="69"/>
      <w:r w:rsidRPr="008D745C">
        <w:t xml:space="preserve"> </w:t>
      </w:r>
    </w:p>
    <w:p w:rsidR="007B5F12" w:rsidP="007B5F12" w14:paraId="2AC1FEAE" w14:textId="77777777">
      <w:pPr>
        <w:keepNext/>
        <w:keepLines/>
      </w:pPr>
      <w:r w:rsidRPr="00AF138D">
        <w:t xml:space="preserve">Teoretisk </w:t>
      </w:r>
      <w:r>
        <w:t>kapasitet</w:t>
      </w:r>
      <w:r w:rsidRPr="00AF138D">
        <w:t xml:space="preserve"> i nettanlegget beregnes slik: </w:t>
      </w:r>
    </w:p>
    <w:p w:rsidR="007B5F12" w:rsidRPr="008D745C" w:rsidP="007B5F12" w14:paraId="6F541CB8" w14:textId="77777777">
      <w:pPr>
        <w:keepNext/>
        <w:keepLines/>
      </w:pPr>
    </w:p>
    <w:p w:rsidR="007B5F12" w:rsidRPr="008D745C" w:rsidP="007B5F12" w14:paraId="08DEB1F0" w14:textId="77777777">
      <w:pPr>
        <w:pStyle w:val="ListParagraph"/>
        <w:keepNext/>
        <w:keepLines/>
        <w:ind w:left="10" w:firstLine="0"/>
      </w:pPr>
      <w:r w:rsidRPr="008D745C">
        <w:t xml:space="preserve">Mellomspenningsanlegg </w:t>
      </w:r>
    </w:p>
    <w:p w:rsidR="007B5F12" w:rsidRPr="008D745C" w:rsidP="007B5F12" w14:paraId="625CF7A9" w14:textId="77777777">
      <w:pPr>
        <w:pStyle w:val="ListParagraph"/>
        <w:keepNext/>
        <w:keepLines/>
        <w:numPr>
          <w:ilvl w:val="0"/>
          <w:numId w:val="33"/>
        </w:numPr>
        <w:ind w:right="475"/>
      </w:pPr>
      <w:r w:rsidRPr="008D745C">
        <w:t>1,0 Ampere per mm</w:t>
      </w:r>
      <w:r w:rsidRPr="002A46D0">
        <w:rPr>
          <w:vertAlign w:val="superscript"/>
        </w:rPr>
        <w:t>2</w:t>
      </w:r>
      <w:r w:rsidRPr="008D745C">
        <w:t xml:space="preserve"> kabel/linje tverrsnitt </w:t>
      </w:r>
      <w:r>
        <w:t>*</w:t>
      </w:r>
    </w:p>
    <w:p w:rsidR="007B5F12" w:rsidRPr="008D745C" w:rsidP="007B5F12" w14:paraId="2396066F" w14:textId="77777777">
      <w:pPr>
        <w:pStyle w:val="ListParagraph"/>
        <w:numPr>
          <w:ilvl w:val="0"/>
          <w:numId w:val="33"/>
        </w:numPr>
        <w:ind w:right="475"/>
      </w:pPr>
      <w:r w:rsidRPr="008D745C">
        <w:t xml:space="preserve">Foranliggende mellomspenningsoverføring med minst ledig kapasitet vil være dimensjonerende </w:t>
      </w:r>
    </w:p>
    <w:p w:rsidR="007B5F12" w:rsidRPr="008D745C" w:rsidP="007B5F12" w14:paraId="4D81835A" w14:textId="77777777">
      <w:pPr>
        <w:ind w:left="0"/>
      </w:pPr>
      <w:r w:rsidRPr="008D745C">
        <w:rPr>
          <w:rFonts w:eastAsia="Calibri"/>
        </w:rPr>
        <w:tab/>
      </w:r>
    </w:p>
    <w:p w:rsidR="007B5F12" w:rsidRPr="008D745C" w:rsidP="007B5F12" w14:paraId="7C98E1EB" w14:textId="77777777">
      <w:pPr>
        <w:pStyle w:val="ListParagraph"/>
        <w:ind w:left="10" w:firstLine="0"/>
      </w:pPr>
      <w:r w:rsidRPr="008D745C">
        <w:t xml:space="preserve">Nettstasjon </w:t>
      </w:r>
    </w:p>
    <w:p w:rsidR="007B5F12" w:rsidRPr="008D745C" w:rsidP="007B5F12" w14:paraId="101FE67D" w14:textId="77777777">
      <w:pPr>
        <w:pStyle w:val="ListParagraph"/>
        <w:numPr>
          <w:ilvl w:val="0"/>
          <w:numId w:val="39"/>
        </w:numPr>
        <w:ind w:right="475"/>
      </w:pPr>
      <w:r w:rsidRPr="008D745C">
        <w:t xml:space="preserve">Installert effekt fordelingstransformator </w:t>
      </w:r>
    </w:p>
    <w:p w:rsidR="007B5F12" w:rsidRPr="008D745C" w:rsidP="007B5F12" w14:paraId="32DA1577" w14:textId="77777777">
      <w:pPr>
        <w:ind w:left="0"/>
      </w:pPr>
      <w:r w:rsidRPr="008D745C">
        <w:rPr>
          <w:rFonts w:eastAsia="Calibri"/>
        </w:rPr>
        <w:tab/>
      </w:r>
    </w:p>
    <w:p w:rsidR="007B5F12" w:rsidRPr="008D745C" w:rsidP="007B5F12" w14:paraId="737637B7" w14:textId="77777777">
      <w:pPr>
        <w:pStyle w:val="ListParagraph"/>
        <w:ind w:left="10" w:firstLine="0"/>
      </w:pPr>
      <w:r w:rsidRPr="008D745C">
        <w:t>Lavspenningsanlegg</w:t>
      </w:r>
    </w:p>
    <w:p w:rsidR="007B5F12" w:rsidRPr="008D745C" w:rsidP="007B5F12" w14:paraId="19445E3F" w14:textId="77777777">
      <w:pPr>
        <w:pStyle w:val="ListParagraph"/>
        <w:numPr>
          <w:ilvl w:val="0"/>
          <w:numId w:val="39"/>
        </w:numPr>
        <w:ind w:right="475"/>
      </w:pPr>
      <w:r w:rsidRPr="008D745C">
        <w:t>1,0 Ampere per mm</w:t>
      </w:r>
      <w:r w:rsidRPr="002A46D0">
        <w:rPr>
          <w:vertAlign w:val="superscript"/>
        </w:rPr>
        <w:t>2</w:t>
      </w:r>
      <w:r w:rsidRPr="008D745C">
        <w:t xml:space="preserve"> kabel/linje tverrsnitt</w:t>
      </w:r>
      <w:r>
        <w:t xml:space="preserve"> *</w:t>
      </w:r>
    </w:p>
    <w:p w:rsidR="007B5F12" w:rsidRPr="008D745C" w:rsidP="007B5F12" w14:paraId="6EE0469D" w14:textId="77777777">
      <w:pPr>
        <w:pStyle w:val="ListParagraph"/>
        <w:numPr>
          <w:ilvl w:val="0"/>
          <w:numId w:val="39"/>
        </w:numPr>
        <w:ind w:right="475"/>
      </w:pPr>
      <w:r w:rsidRPr="008D745C">
        <w:t xml:space="preserve">Foranliggende lavspenningsoverføring med minst ledig kapasitet vil være dimensjonerende </w:t>
      </w:r>
    </w:p>
    <w:p w:rsidR="007B5F12" w:rsidRPr="008D745C" w:rsidP="007B5F12" w14:paraId="2D01E9ED" w14:textId="77777777">
      <w:pPr>
        <w:ind w:left="0"/>
      </w:pPr>
    </w:p>
    <w:p w:rsidR="007B5F12" w:rsidRPr="008D745C" w:rsidP="007B5F12" w14:paraId="3D77EA5C" w14:textId="77777777">
      <w:r w:rsidRPr="008D745C">
        <w:t>Stikkledning</w:t>
      </w:r>
    </w:p>
    <w:p w:rsidR="007B5F12" w:rsidRPr="002A46D0" w:rsidP="007B5F12" w14:paraId="3C66AD47" w14:textId="77777777">
      <w:pPr>
        <w:pStyle w:val="ListParagraph"/>
        <w:numPr>
          <w:ilvl w:val="0"/>
          <w:numId w:val="33"/>
        </w:numPr>
        <w:ind w:right="475"/>
        <w:rPr>
          <w:b/>
        </w:rPr>
      </w:pPr>
      <w:r w:rsidRPr="008D745C">
        <w:t>1,0 Ampere per mm</w:t>
      </w:r>
      <w:r w:rsidRPr="002A46D0">
        <w:rPr>
          <w:vertAlign w:val="superscript"/>
        </w:rPr>
        <w:t>2</w:t>
      </w:r>
      <w:r w:rsidRPr="008D745C">
        <w:t xml:space="preserve"> kabel/linje tverrsnitt</w:t>
      </w:r>
      <w:r>
        <w:t xml:space="preserve"> *</w:t>
      </w:r>
    </w:p>
    <w:p w:rsidR="007B5F12" w:rsidRPr="00544146" w:rsidP="007B5F12" w14:paraId="4A125F2C" w14:textId="77777777">
      <w:pPr>
        <w:pStyle w:val="ListParagraph"/>
        <w:ind w:left="2148" w:firstLine="0"/>
        <w:rPr>
          <w:b/>
          <w:i/>
          <w:iCs/>
        </w:rPr>
      </w:pPr>
    </w:p>
    <w:p w:rsidR="007B5F12" w:rsidRPr="008D745C" w:rsidP="007B5F12" w14:paraId="3DDA07C8" w14:textId="77777777">
      <w:r w:rsidRPr="00544146">
        <w:rPr>
          <w:i/>
          <w:iCs/>
        </w:rPr>
        <w:t>*økonomisk belastning som sikrer at ledningsanlegg oppnår økonomisk og/eller teknisk levetid</w:t>
      </w:r>
    </w:p>
    <w:p w:rsidR="007B5F12" w:rsidRPr="008D745C" w:rsidP="007B5F12" w14:paraId="7069539A" w14:textId="77777777">
      <w:r w:rsidRPr="008D745C">
        <w:t xml:space="preserve"> </w:t>
      </w:r>
    </w:p>
    <w:p w:rsidR="007B5F12" w:rsidP="007B5F12" w14:paraId="13B933E2" w14:textId="77777777">
      <w:r w:rsidRPr="008D745C">
        <w:t xml:space="preserve">Minste ledige kapasitet settes aldri under </w:t>
      </w:r>
      <w:r w:rsidRPr="008D745C">
        <w:rPr>
          <w:u w:val="single" w:color="000000"/>
        </w:rPr>
        <w:t>største</w:t>
      </w:r>
      <w:r w:rsidRPr="008D745C">
        <w:t xml:space="preserve"> verdi av: </w:t>
      </w:r>
    </w:p>
    <w:p w:rsidR="007B5F12" w:rsidP="007B5F12" w14:paraId="43081F2C" w14:textId="77777777">
      <w:pPr>
        <w:pStyle w:val="ListParagraph"/>
        <w:numPr>
          <w:ilvl w:val="0"/>
          <w:numId w:val="33"/>
        </w:numPr>
        <w:ind w:right="475"/>
      </w:pPr>
      <w:r>
        <w:t>N</w:t>
      </w:r>
      <w:r w:rsidRPr="008D745C">
        <w:t xml:space="preserve">ettradial/nettanlegg med minst ledig kapasitet </w:t>
      </w:r>
    </w:p>
    <w:p w:rsidR="007B5F12" w:rsidRPr="008D745C" w:rsidP="007B5F12" w14:paraId="29A0AC0F" w14:textId="77777777">
      <w:pPr>
        <w:pStyle w:val="ListParagraph"/>
        <w:numPr>
          <w:ilvl w:val="0"/>
          <w:numId w:val="33"/>
        </w:numPr>
        <w:ind w:right="475"/>
      </w:pPr>
      <w:r>
        <w:t>K</w:t>
      </w:r>
      <w:r w:rsidRPr="008D745C">
        <w:t xml:space="preserve">undens bestilte effekt   </w:t>
      </w:r>
    </w:p>
    <w:p w:rsidR="007B5F12" w:rsidRPr="008D745C" w:rsidP="007B5F12" w14:paraId="13F58375" w14:textId="77777777"/>
    <w:p w:rsidR="007B5F12" w:rsidRPr="008D745C" w:rsidP="003A38C1" w14:paraId="4CC0E855" w14:textId="77777777">
      <w:pPr>
        <w:pStyle w:val="Heading2"/>
      </w:pPr>
      <w:r w:rsidRPr="008D745C">
        <w:t xml:space="preserve"> </w:t>
      </w:r>
      <w:bookmarkStart w:id="71" w:name="_Toc130984392"/>
      <w:bookmarkStart w:id="72" w:name="_Toc256000031"/>
      <w:r w:rsidRPr="008D745C">
        <w:t>Teoretiske effekter i regionalnettet</w:t>
      </w:r>
      <w:bookmarkEnd w:id="72"/>
      <w:bookmarkEnd w:id="71"/>
    </w:p>
    <w:p w:rsidR="007B5F12" w:rsidRPr="008D745C" w:rsidP="007B5F12" w14:paraId="1F9DF400" w14:textId="77777777">
      <w:pPr>
        <w:rPr>
          <w:i/>
          <w:iCs/>
          <w:color w:val="44546A" w:themeColor="text2"/>
          <w:sz w:val="20"/>
          <w:szCs w:val="20"/>
        </w:rPr>
      </w:pPr>
      <w:r w:rsidRPr="008D745C">
        <w:t xml:space="preserve">Anleggets teoretiske kapasitet: Ved vurdering av tilgjengelig kapasitet og/eller økt kapasitet som følge av tiltak, benyttes </w:t>
      </w:r>
      <w:r w:rsidRPr="0067523F">
        <w:t>veiledende maksimalbelastning av komponenter som utgangspunkt.</w:t>
      </w:r>
    </w:p>
    <w:tbl>
      <w:tblPr>
        <w:tblStyle w:val="GridTable1Light"/>
        <w:tblW w:w="0" w:type="auto"/>
        <w:tblLayout w:type="fixed"/>
        <w:tblLook w:val="04A0"/>
      </w:tblPr>
      <w:tblGrid>
        <w:gridCol w:w="2760"/>
        <w:gridCol w:w="2050"/>
        <w:gridCol w:w="5528"/>
      </w:tblGrid>
      <w:tr w14:paraId="424217B6" w14:textId="77777777" w:rsidTr="009223A7">
        <w:tblPrEx>
          <w:tblW w:w="0" w:type="auto"/>
          <w:tblLayout w:type="fixed"/>
          <w:tblLook w:val="04A0"/>
        </w:tblPrEx>
        <w:tc>
          <w:tcPr>
            <w:tcW w:w="2760" w:type="dxa"/>
            <w:tcBorders>
              <w:top w:val="single" w:sz="8" w:space="0" w:color="999999"/>
              <w:left w:val="single" w:sz="8" w:space="0" w:color="999999"/>
              <w:bottom w:val="single" w:sz="12" w:space="0" w:color="666666"/>
              <w:right w:val="single" w:sz="8" w:space="0" w:color="999999"/>
            </w:tcBorders>
            <w:shd w:val="clear" w:color="auto" w:fill="E7E6E6" w:themeFill="background2"/>
          </w:tcPr>
          <w:p w:rsidR="007B5F12" w:rsidRPr="008D745C" w:rsidP="00BF2EC2" w14:paraId="09A665CA" w14:textId="77777777">
            <w:pPr>
              <w:rPr>
                <w:rFonts w:eastAsia="Calibri"/>
              </w:rPr>
            </w:pPr>
            <w:r w:rsidRPr="008D745C">
              <w:rPr>
                <w:rFonts w:eastAsia="Calibri"/>
              </w:rPr>
              <w:t>Komponent</w:t>
            </w:r>
          </w:p>
        </w:tc>
        <w:tc>
          <w:tcPr>
            <w:tcW w:w="2050" w:type="dxa"/>
            <w:tcBorders>
              <w:top w:val="single" w:sz="8" w:space="0" w:color="999999"/>
              <w:left w:val="single" w:sz="8" w:space="0" w:color="999999"/>
              <w:bottom w:val="single" w:sz="12" w:space="0" w:color="666666"/>
              <w:right w:val="single" w:sz="8" w:space="0" w:color="999999"/>
            </w:tcBorders>
            <w:shd w:val="clear" w:color="auto" w:fill="E7E6E6" w:themeFill="background2"/>
          </w:tcPr>
          <w:p w:rsidR="007B5F12" w:rsidRPr="008D745C" w:rsidP="00BF2EC2" w14:paraId="4F9BBC4A" w14:textId="77777777">
            <w:pPr>
              <w:rPr>
                <w:rFonts w:eastAsia="Calibri"/>
              </w:rPr>
            </w:pPr>
            <w:r w:rsidRPr="008D745C">
              <w:rPr>
                <w:rFonts w:eastAsia="Calibri"/>
              </w:rPr>
              <w:t>Veiledende maksimal belastning [%]</w:t>
            </w:r>
          </w:p>
        </w:tc>
        <w:tc>
          <w:tcPr>
            <w:tcW w:w="5528" w:type="dxa"/>
            <w:tcBorders>
              <w:top w:val="single" w:sz="8" w:space="0" w:color="999999"/>
              <w:left w:val="single" w:sz="8" w:space="0" w:color="999999"/>
              <w:bottom w:val="single" w:sz="12" w:space="0" w:color="666666"/>
              <w:right w:val="single" w:sz="8" w:space="0" w:color="999999"/>
            </w:tcBorders>
            <w:shd w:val="clear" w:color="auto" w:fill="E7E6E6" w:themeFill="background2"/>
          </w:tcPr>
          <w:p w:rsidR="007B5F12" w:rsidRPr="008D745C" w:rsidP="00BF2EC2" w14:paraId="24934EC8" w14:textId="77777777">
            <w:pPr>
              <w:rPr>
                <w:rFonts w:eastAsia="Calibri"/>
              </w:rPr>
            </w:pPr>
            <w:r w:rsidRPr="008D745C">
              <w:rPr>
                <w:rFonts w:eastAsia="Calibri"/>
              </w:rPr>
              <w:t>Kommentar</w:t>
            </w:r>
          </w:p>
        </w:tc>
      </w:tr>
      <w:tr w14:paraId="4148E499" w14:textId="77777777" w:rsidTr="009223A7">
        <w:tblPrEx>
          <w:tblW w:w="0" w:type="auto"/>
          <w:tblLayout w:type="fixed"/>
          <w:tblLook w:val="04A0"/>
        </w:tblPrEx>
        <w:tc>
          <w:tcPr>
            <w:tcW w:w="2760" w:type="dxa"/>
            <w:tcBorders>
              <w:top w:val="single" w:sz="12" w:space="0" w:color="666666"/>
              <w:left w:val="single" w:sz="8" w:space="0" w:color="999999"/>
              <w:bottom w:val="single" w:sz="8" w:space="0" w:color="999999"/>
              <w:right w:val="single" w:sz="8" w:space="0" w:color="999999"/>
            </w:tcBorders>
          </w:tcPr>
          <w:p w:rsidR="007B5F12" w:rsidRPr="008D745C" w:rsidP="00BF2EC2" w14:paraId="7C947EC6" w14:textId="77777777">
            <w:pPr>
              <w:rPr>
                <w:sz w:val="18"/>
                <w:szCs w:val="18"/>
              </w:rPr>
            </w:pPr>
            <w:r w:rsidRPr="008D745C">
              <w:rPr>
                <w:rFonts w:eastAsia="Calibri"/>
              </w:rPr>
              <w:t>Luftlinje</w:t>
            </w:r>
          </w:p>
        </w:tc>
        <w:tc>
          <w:tcPr>
            <w:tcW w:w="2050" w:type="dxa"/>
            <w:tcBorders>
              <w:top w:val="single" w:sz="12" w:space="0" w:color="666666"/>
              <w:left w:val="single" w:sz="8" w:space="0" w:color="999999"/>
              <w:bottom w:val="single" w:sz="8" w:space="0" w:color="999999"/>
              <w:right w:val="single" w:sz="8" w:space="0" w:color="999999"/>
            </w:tcBorders>
          </w:tcPr>
          <w:p w:rsidR="007B5F12" w:rsidRPr="008D745C" w:rsidP="00BF2EC2" w14:paraId="67D07414" w14:textId="77777777">
            <w:pPr>
              <w:rPr>
                <w:sz w:val="18"/>
                <w:szCs w:val="18"/>
              </w:rPr>
            </w:pPr>
            <w:r w:rsidRPr="008D745C">
              <w:rPr>
                <w:rFonts w:eastAsia="Calibri"/>
              </w:rPr>
              <w:t>90 %</w:t>
            </w:r>
          </w:p>
        </w:tc>
        <w:tc>
          <w:tcPr>
            <w:tcW w:w="5528" w:type="dxa"/>
            <w:tcBorders>
              <w:top w:val="single" w:sz="12" w:space="0" w:color="666666"/>
              <w:left w:val="single" w:sz="8" w:space="0" w:color="999999"/>
              <w:bottom w:val="single" w:sz="8" w:space="0" w:color="999999"/>
              <w:right w:val="single" w:sz="8" w:space="0" w:color="999999"/>
            </w:tcBorders>
          </w:tcPr>
          <w:p w:rsidR="007B5F12" w:rsidRPr="008D745C" w:rsidP="00BF2EC2" w14:paraId="430210BC" w14:textId="77777777">
            <w:pPr>
              <w:rPr>
                <w:rFonts w:eastAsia="Calibri"/>
              </w:rPr>
            </w:pPr>
            <w:r w:rsidRPr="008D745C">
              <w:rPr>
                <w:rFonts w:eastAsia="Calibri"/>
              </w:rPr>
              <w:t xml:space="preserve">Linje kan observeres fysisk og har ikke begrensning mhp. </w:t>
            </w:r>
            <w:r>
              <w:rPr>
                <w:rFonts w:eastAsia="Calibri"/>
              </w:rPr>
              <w:t>f</w:t>
            </w:r>
            <w:r w:rsidRPr="008D745C">
              <w:rPr>
                <w:rFonts w:eastAsia="Calibri"/>
              </w:rPr>
              <w:t>orlegningsevne. Benytter normalt strømgrense for dimensjonerende driftssituasjon, temperatur og lastavhengig.</w:t>
            </w:r>
          </w:p>
        </w:tc>
      </w:tr>
      <w:tr w14:paraId="58159490" w14:textId="77777777" w:rsidTr="009223A7">
        <w:tblPrEx>
          <w:tblW w:w="0" w:type="auto"/>
          <w:tblLayout w:type="fixed"/>
          <w:tblLook w:val="04A0"/>
        </w:tblPrEx>
        <w:tc>
          <w:tcPr>
            <w:tcW w:w="2760" w:type="dxa"/>
            <w:tcBorders>
              <w:top w:val="single" w:sz="8" w:space="0" w:color="999999"/>
              <w:left w:val="single" w:sz="8" w:space="0" w:color="999999"/>
              <w:bottom w:val="single" w:sz="8" w:space="0" w:color="999999"/>
              <w:right w:val="single" w:sz="8" w:space="0" w:color="999999"/>
            </w:tcBorders>
          </w:tcPr>
          <w:p w:rsidR="007B5F12" w:rsidRPr="008D745C" w:rsidP="00BF2EC2" w14:paraId="2476956E" w14:textId="77777777">
            <w:pPr>
              <w:rPr>
                <w:sz w:val="18"/>
                <w:szCs w:val="18"/>
              </w:rPr>
            </w:pPr>
            <w:r w:rsidRPr="008D745C">
              <w:rPr>
                <w:rFonts w:eastAsia="Calibri"/>
              </w:rPr>
              <w:t>Kabel</w:t>
            </w:r>
          </w:p>
        </w:tc>
        <w:tc>
          <w:tcPr>
            <w:tcW w:w="2050" w:type="dxa"/>
            <w:tcBorders>
              <w:top w:val="single" w:sz="8" w:space="0" w:color="999999"/>
              <w:left w:val="single" w:sz="8" w:space="0" w:color="999999"/>
              <w:bottom w:val="single" w:sz="8" w:space="0" w:color="999999"/>
              <w:right w:val="single" w:sz="8" w:space="0" w:color="999999"/>
            </w:tcBorders>
          </w:tcPr>
          <w:p w:rsidR="007B5F12" w:rsidRPr="008D745C" w:rsidP="00BF2EC2" w14:paraId="744F5A40" w14:textId="77777777">
            <w:pPr>
              <w:rPr>
                <w:sz w:val="18"/>
                <w:szCs w:val="18"/>
              </w:rPr>
            </w:pPr>
            <w:r w:rsidRPr="008D745C">
              <w:rPr>
                <w:rFonts w:eastAsia="Calibri"/>
              </w:rPr>
              <w:t>80 %</w:t>
            </w:r>
          </w:p>
        </w:tc>
        <w:tc>
          <w:tcPr>
            <w:tcW w:w="5528" w:type="dxa"/>
            <w:tcBorders>
              <w:top w:val="single" w:sz="8" w:space="0" w:color="999999"/>
              <w:left w:val="single" w:sz="8" w:space="0" w:color="999999"/>
              <w:bottom w:val="single" w:sz="8" w:space="0" w:color="999999"/>
              <w:right w:val="single" w:sz="8" w:space="0" w:color="999999"/>
            </w:tcBorders>
          </w:tcPr>
          <w:p w:rsidR="007B5F12" w:rsidRPr="008D745C" w:rsidP="00BF2EC2" w14:paraId="2346396B" w14:textId="77777777">
            <w:pPr>
              <w:rPr>
                <w:rFonts w:eastAsia="Calibri"/>
              </w:rPr>
            </w:pPr>
            <w:r w:rsidRPr="008D745C">
              <w:rPr>
                <w:rFonts w:eastAsia="Calibri"/>
              </w:rPr>
              <w:t>Usikkerheter rundt faktisk forlegning i tidligfase. Ved god informasjon om forlegning/temperatur i kabel kan andre sikkerhetsmarginer vurderes.</w:t>
            </w:r>
          </w:p>
        </w:tc>
      </w:tr>
      <w:tr w14:paraId="055C0ECA" w14:textId="77777777" w:rsidTr="009223A7">
        <w:tblPrEx>
          <w:tblW w:w="0" w:type="auto"/>
          <w:tblLayout w:type="fixed"/>
          <w:tblLook w:val="04A0"/>
        </w:tblPrEx>
        <w:tc>
          <w:tcPr>
            <w:tcW w:w="2760" w:type="dxa"/>
            <w:tcBorders>
              <w:top w:val="single" w:sz="8" w:space="0" w:color="999999"/>
              <w:left w:val="single" w:sz="8" w:space="0" w:color="999999"/>
              <w:bottom w:val="single" w:sz="8" w:space="0" w:color="999999"/>
              <w:right w:val="single" w:sz="8" w:space="0" w:color="999999"/>
            </w:tcBorders>
          </w:tcPr>
          <w:p w:rsidR="007B5F12" w:rsidRPr="008D745C" w:rsidP="00BF2EC2" w14:paraId="4EF13838" w14:textId="77777777">
            <w:pPr>
              <w:rPr>
                <w:sz w:val="18"/>
                <w:szCs w:val="18"/>
              </w:rPr>
            </w:pPr>
            <w:r w:rsidRPr="008D745C">
              <w:rPr>
                <w:rFonts w:eastAsia="Calibri"/>
              </w:rPr>
              <w:t>Transformator</w:t>
            </w:r>
          </w:p>
        </w:tc>
        <w:tc>
          <w:tcPr>
            <w:tcW w:w="2050" w:type="dxa"/>
            <w:tcBorders>
              <w:top w:val="single" w:sz="8" w:space="0" w:color="999999"/>
              <w:left w:val="single" w:sz="8" w:space="0" w:color="999999"/>
              <w:bottom w:val="single" w:sz="8" w:space="0" w:color="999999"/>
              <w:right w:val="single" w:sz="8" w:space="0" w:color="999999"/>
            </w:tcBorders>
          </w:tcPr>
          <w:p w:rsidR="007B5F12" w:rsidRPr="008D745C" w:rsidP="00BF2EC2" w14:paraId="1706A95E" w14:textId="77777777">
            <w:pPr>
              <w:rPr>
                <w:sz w:val="18"/>
                <w:szCs w:val="18"/>
              </w:rPr>
            </w:pPr>
            <w:r w:rsidRPr="008D745C">
              <w:rPr>
                <w:rFonts w:eastAsia="Calibri"/>
              </w:rPr>
              <w:t>100 %</w:t>
            </w:r>
          </w:p>
        </w:tc>
        <w:tc>
          <w:tcPr>
            <w:tcW w:w="5528" w:type="dxa"/>
            <w:tcBorders>
              <w:top w:val="single" w:sz="8" w:space="0" w:color="999999"/>
              <w:left w:val="single" w:sz="8" w:space="0" w:color="999999"/>
              <w:bottom w:val="single" w:sz="8" w:space="0" w:color="999999"/>
              <w:right w:val="single" w:sz="8" w:space="0" w:color="999999"/>
            </w:tcBorders>
          </w:tcPr>
          <w:p w:rsidR="007B5F12" w:rsidRPr="008D745C" w:rsidP="00BF2EC2" w14:paraId="759C39A3" w14:textId="77777777">
            <w:pPr>
              <w:rPr>
                <w:sz w:val="18"/>
                <w:szCs w:val="18"/>
              </w:rPr>
            </w:pPr>
            <w:r w:rsidRPr="008D745C">
              <w:rPr>
                <w:rFonts w:eastAsia="Calibri"/>
              </w:rPr>
              <w:t xml:space="preserve"> De fleste transformatorer har 10-20 prosent overlastmulighet.</w:t>
            </w:r>
          </w:p>
        </w:tc>
      </w:tr>
    </w:tbl>
    <w:p w:rsidR="007B5F12" w:rsidRPr="008D745C" w:rsidP="007B5F12" w14:paraId="37B01681" w14:textId="77777777">
      <w:r w:rsidRPr="008D745C">
        <w:t xml:space="preserve"> </w:t>
      </w:r>
    </w:p>
    <w:p w:rsidR="007B5F12" w:rsidP="003A38C1" w14:paraId="795C1266" w14:textId="77777777">
      <w:pPr>
        <w:pStyle w:val="Heading2"/>
      </w:pPr>
      <w:bookmarkStart w:id="73" w:name="_Toc130984393"/>
      <w:bookmarkStart w:id="74" w:name="_Toc256000032"/>
      <w:r w:rsidRPr="008D745C">
        <w:t>Teoretisk effekt i kundens anlegg</w:t>
      </w:r>
      <w:bookmarkEnd w:id="74"/>
      <w:bookmarkEnd w:id="73"/>
      <w:r>
        <w:t xml:space="preserve"> </w:t>
      </w:r>
    </w:p>
    <w:p w:rsidR="007B5F12" w:rsidP="007B5F12" w14:paraId="5C3AD474" w14:textId="77777777">
      <w:pPr>
        <w:keepNext/>
        <w:keepLines/>
      </w:pPr>
      <w:r>
        <w:t>Beregning av kundens bestilte kapasitet:</w:t>
      </w:r>
    </w:p>
    <w:p w:rsidR="007B5F12" w:rsidP="007B5F12" w14:paraId="57F55AA7" w14:textId="77777777">
      <w:pPr>
        <w:pStyle w:val="ListParagraph"/>
        <w:keepNext/>
        <w:keepLines/>
        <w:numPr>
          <w:ilvl w:val="0"/>
          <w:numId w:val="41"/>
        </w:numPr>
        <w:ind w:right="475"/>
      </w:pPr>
      <w:r w:rsidRPr="00D82687">
        <w:rPr>
          <w:bCs/>
        </w:rPr>
        <w:t>Husholdningskunder og mindre næringskunder:</w:t>
      </w:r>
      <w:r>
        <w:rPr>
          <w:b/>
        </w:rPr>
        <w:t xml:space="preserve"> </w:t>
      </w:r>
      <w:r w:rsidRPr="008D745C">
        <w:t>Størrelsen (Ampere) på inntaksvern (OV)</w:t>
      </w:r>
      <w:r>
        <w:t>.</w:t>
      </w:r>
    </w:p>
    <w:p w:rsidR="007B5F12" w:rsidP="007B5F12" w14:paraId="7AA3A3D0" w14:textId="77777777">
      <w:pPr>
        <w:pStyle w:val="ListParagraph"/>
        <w:numPr>
          <w:ilvl w:val="0"/>
          <w:numId w:val="41"/>
        </w:numPr>
        <w:ind w:right="475"/>
      </w:pPr>
      <w:r w:rsidRPr="00020956">
        <w:rPr>
          <w:bCs/>
        </w:rPr>
        <w:t>Industrikunder med høyt effektforbruk:</w:t>
      </w:r>
      <w:r>
        <w:t xml:space="preserve"> </w:t>
      </w:r>
      <w:r w:rsidRPr="008D745C">
        <w:t>Innstilling på kundens effektbryter</w:t>
      </w:r>
      <w:r>
        <w:t>.</w:t>
      </w:r>
      <w:r w:rsidRPr="008D745C">
        <w:t xml:space="preserve"> </w:t>
      </w:r>
    </w:p>
    <w:p w:rsidR="007B5F12" w:rsidRPr="00761252" w:rsidP="007B5F12" w14:paraId="72D05905" w14:textId="77777777">
      <w:pPr>
        <w:pStyle w:val="ListParagraph"/>
        <w:ind w:left="10" w:firstLine="0"/>
      </w:pPr>
    </w:p>
    <w:p w:rsidR="007B5F12" w:rsidRPr="008D745C" w:rsidP="007B5F12" w14:paraId="3DF41BC3" w14:textId="77777777">
      <w:r w:rsidRPr="008D745C">
        <w:t xml:space="preserve"> </w:t>
      </w:r>
    </w:p>
    <w:p w:rsidR="007B5F12" w:rsidP="007B5F12" w14:paraId="58D9E6EC" w14:textId="77777777">
      <w:pPr>
        <w:pStyle w:val="Heading1"/>
      </w:pPr>
      <w:bookmarkStart w:id="75" w:name="_Toc130984394"/>
      <w:bookmarkStart w:id="76" w:name="_Toc256000033"/>
      <w:r w:rsidRPr="008D745C">
        <w:t>ØVRIG RAMMEVERK</w:t>
      </w:r>
      <w:r>
        <w:t xml:space="preserve"> I DISTRIBUSJONSNETTET</w:t>
      </w:r>
      <w:bookmarkEnd w:id="76"/>
      <w:bookmarkEnd w:id="75"/>
    </w:p>
    <w:p w:rsidR="007B5F12" w:rsidP="003A38C1" w14:paraId="3A7CD8D5" w14:textId="77777777">
      <w:pPr>
        <w:pStyle w:val="Heading2"/>
      </w:pPr>
      <w:bookmarkStart w:id="77" w:name="_Toc130984395"/>
      <w:bookmarkStart w:id="78" w:name="_Toc256000034"/>
      <w:r>
        <w:t>Grunneieravståelser</w:t>
      </w:r>
      <w:bookmarkEnd w:id="78"/>
      <w:bookmarkEnd w:id="77"/>
    </w:p>
    <w:p w:rsidR="007B5F12" w:rsidRPr="008D745C" w:rsidP="007B5F12" w14:paraId="629728D6" w14:textId="77777777">
      <w:pPr>
        <w:keepNext/>
        <w:keepLines/>
      </w:pPr>
      <w:r w:rsidRPr="008D745C">
        <w:t xml:space="preserve">Tensio TS skal ivareta all saksbehandling i forbindelse med privatrettslige grunnerverv for grøftetraseer, nettstasjonstomt og plassering av andre anleggskomponenter. </w:t>
      </w:r>
    </w:p>
    <w:p w:rsidR="007B5F12" w:rsidRPr="008D745C" w:rsidP="007B5F12" w14:paraId="5C068231" w14:textId="77777777">
      <w:pPr>
        <w:keepNext/>
        <w:keepLines/>
      </w:pPr>
      <w:r w:rsidRPr="008D745C">
        <w:t xml:space="preserve"> </w:t>
      </w:r>
    </w:p>
    <w:p w:rsidR="007B5F12" w:rsidP="007B5F12" w14:paraId="00BD7396" w14:textId="77777777">
      <w:r w:rsidRPr="008D745C">
        <w:t>Kostnader med grunnerverv inngår i nettanleggets anleggskostnad</w:t>
      </w:r>
      <w:r>
        <w:t>.</w:t>
      </w:r>
      <w:r w:rsidRPr="008D745C">
        <w:t xml:space="preserve">  </w:t>
      </w:r>
    </w:p>
    <w:p w:rsidR="007B5F12" w:rsidP="007B5F12" w14:paraId="7F07F68A" w14:textId="77777777"/>
    <w:p w:rsidR="007B5F12" w:rsidP="003A38C1" w14:paraId="6F89FD0C" w14:textId="77777777">
      <w:pPr>
        <w:pStyle w:val="Heading2"/>
      </w:pPr>
      <w:bookmarkStart w:id="79" w:name="_Toc130984396"/>
      <w:bookmarkStart w:id="80" w:name="_Toc256000035"/>
      <w:r>
        <w:t>Graventreprise</w:t>
      </w:r>
      <w:bookmarkEnd w:id="80"/>
      <w:bookmarkEnd w:id="79"/>
    </w:p>
    <w:p w:rsidR="007B5F12" w:rsidRPr="008D745C" w:rsidP="007B5F12" w14:paraId="1BBDB6EA" w14:textId="77777777">
      <w:r w:rsidRPr="008D745C">
        <w:t>Dersom utbygger ønsker at Tensio TS skal utføre gravearbeidene som en del av anleggsbidraget, må vi ut med en prisforespørsel før vi kan iverksette disse arbeidene. Alternativt vil vi prise slike arbeider utfra de rammeavtaler vi har med våre faste underleverandører</w:t>
      </w:r>
      <w:r>
        <w:t>.</w:t>
      </w:r>
      <w:r w:rsidRPr="008D745C">
        <w:t xml:space="preserve"> </w:t>
      </w:r>
    </w:p>
    <w:p w:rsidR="007B5F12" w:rsidRPr="008D745C" w:rsidP="007B5F12" w14:paraId="581EE4BB" w14:textId="77777777">
      <w:r w:rsidRPr="008D745C">
        <w:t xml:space="preserve"> </w:t>
      </w:r>
    </w:p>
    <w:p w:rsidR="007B5F12" w:rsidRPr="008D745C" w:rsidP="007B5F12" w14:paraId="3439BCD7" w14:textId="77777777">
      <w:r w:rsidRPr="008D745C">
        <w:t xml:space="preserve">Entreprenørarbeider/Gravearbeider i forbindelse med kabelgrøfter, utlegging kable, oppsett av skap og fundamentering for nettstasjon </w:t>
      </w:r>
      <w:r w:rsidRPr="008D745C">
        <w:rPr>
          <w:b/>
          <w:u w:val="single" w:color="000000"/>
        </w:rPr>
        <w:t>kan</w:t>
      </w:r>
      <w:r w:rsidRPr="008D745C">
        <w:rPr>
          <w:b/>
        </w:rPr>
        <w:t xml:space="preserve"> utføres og bekostes av utbygger selv</w:t>
      </w:r>
      <w:r w:rsidRPr="008D745C">
        <w:t xml:space="preserve">, forutsatt at utbygger ivaretar byggherrerollen og selv ønsker å ivareta denne delen av nettutbyggingen. </w:t>
      </w:r>
      <w:r>
        <w:t xml:space="preserve"> Kostnadene vil da ikke inngå i anleggsbidraget.</w:t>
      </w:r>
    </w:p>
    <w:p w:rsidR="007B5F12" w:rsidP="007B5F12" w14:paraId="260E54F4" w14:textId="77777777"/>
    <w:p w:rsidR="007B5F12" w:rsidRPr="00DC4B3D" w:rsidP="007B5F12" w14:paraId="0EDDEE1C" w14:textId="77777777">
      <w:r w:rsidRPr="00DC4B3D">
        <w:t>I henhold til reglene om anleggsbidrag vil Tensio TS i slike tilfeller beregne ett fradrag i anleggskost (AK) for slike arbeider. Tensio TS vil benytte REN sitt kalkyleverktøy for slike</w:t>
      </w:r>
      <w:r>
        <w:t>.</w:t>
      </w:r>
    </w:p>
    <w:p w:rsidR="007B5F12" w:rsidRPr="008D745C" w:rsidP="007B5F12" w14:paraId="73045700" w14:textId="77777777">
      <w:r w:rsidRPr="008D745C">
        <w:t xml:space="preserve"> </w:t>
      </w:r>
    </w:p>
    <w:p w:rsidR="007B5F12" w:rsidP="007B5F12" w14:paraId="088A8900" w14:textId="77777777">
      <w:r w:rsidRPr="008D745C">
        <w:t xml:space="preserve">Velger utbygger å utføre gravearbeidene i egen regi gjelder følgende: </w:t>
      </w:r>
    </w:p>
    <w:p w:rsidR="007B5F12" w:rsidRPr="008D745C" w:rsidP="007B5F12" w14:paraId="45B66AFD" w14:textId="77777777"/>
    <w:p w:rsidR="007B5F12" w:rsidRPr="008D745C" w:rsidP="007B5F12" w14:paraId="02334946" w14:textId="77777777">
      <w:pPr>
        <w:pStyle w:val="ListParagraph"/>
        <w:numPr>
          <w:ilvl w:val="0"/>
          <w:numId w:val="33"/>
        </w:numPr>
        <w:ind w:right="475"/>
      </w:pPr>
      <w:r w:rsidRPr="008D745C">
        <w:t xml:space="preserve">Valgt graveentreprenør / </w:t>
      </w:r>
      <w:r w:rsidRPr="00453D95">
        <w:rPr>
          <w:u w:val="single" w:color="000000"/>
        </w:rPr>
        <w:t>maskinfører</w:t>
      </w:r>
      <w:r w:rsidRPr="008D745C">
        <w:t xml:space="preserve"> må inneha lovpålagt kompetanse og i tillegg ha gjennomgått nødvendig opplæring for å kunne grave kabelgrøft og legge kabler for Tensio TS.  </w:t>
      </w:r>
    </w:p>
    <w:p w:rsidR="007B5F12" w:rsidRPr="008D745C" w:rsidP="007B5F12" w14:paraId="048EC259" w14:textId="77777777">
      <w:pPr>
        <w:ind w:firstLine="35"/>
      </w:pPr>
    </w:p>
    <w:p w:rsidR="007B5F12" w:rsidRPr="008D745C" w:rsidP="007B5F12" w14:paraId="73C2817C" w14:textId="77777777">
      <w:pPr>
        <w:pStyle w:val="ListParagraph"/>
        <w:numPr>
          <w:ilvl w:val="0"/>
          <w:numId w:val="33"/>
        </w:numPr>
        <w:ind w:right="475"/>
      </w:pPr>
      <w:r w:rsidRPr="008D745C">
        <w:t xml:space="preserve">All fundamentering, kabelgrøfter og behandling av kabler og annet materiell skal foregå i henhold til retningslinjer beskrevet av REN  </w:t>
      </w:r>
      <w:hyperlink r:id="rId15" w:history="1">
        <w:r w:rsidRPr="00453D95">
          <w:rPr>
            <w:color w:val="0000FF"/>
            <w:u w:val="single" w:color="0000FF"/>
          </w:rPr>
          <w:t>http://www.ren.no/</w:t>
        </w:r>
      </w:hyperlink>
      <w:hyperlink r:id="rId15" w:history="1">
        <w:r w:rsidRPr="008D745C">
          <w:t xml:space="preserve"> </w:t>
        </w:r>
      </w:hyperlink>
      <w:r w:rsidRPr="008D745C">
        <w:t xml:space="preserve"> </w:t>
      </w:r>
    </w:p>
    <w:p w:rsidR="007B5F12" w:rsidRPr="008D745C" w:rsidP="007B5F12" w14:paraId="07EE68E1" w14:textId="77777777">
      <w:pPr>
        <w:ind w:firstLine="35"/>
      </w:pPr>
    </w:p>
    <w:p w:rsidR="007B5F12" w:rsidP="007B5F12" w14:paraId="603A2739" w14:textId="77777777">
      <w:pPr>
        <w:pStyle w:val="ListParagraph"/>
        <w:numPr>
          <w:ilvl w:val="0"/>
          <w:numId w:val="33"/>
        </w:numPr>
        <w:ind w:right="475"/>
      </w:pPr>
      <w:r w:rsidRPr="008D745C">
        <w:t xml:space="preserve">Tensio TS stiller krav til dokumentasjon av kabeltraseer.  Dette vil være krav om innmåling/dokumentasjon av kabeltraseer samt bildedokumentasjon om riktig kvalitet på kabelgrøft og på kabelbehandling. </w:t>
      </w:r>
    </w:p>
    <w:p w:rsidR="007B5F12" w:rsidRPr="008D745C" w:rsidP="007B5F12" w14:paraId="31FFAB58" w14:textId="77777777"/>
    <w:p w:rsidR="007B5F12" w:rsidRPr="008D745C" w:rsidP="007B5F12" w14:paraId="385D2F8D" w14:textId="77777777">
      <w:pPr>
        <w:pStyle w:val="ListParagraph"/>
        <w:numPr>
          <w:ilvl w:val="0"/>
          <w:numId w:val="36"/>
        </w:numPr>
        <w:ind w:left="1065" w:right="475"/>
      </w:pPr>
      <w:r w:rsidRPr="008D745C">
        <w:t xml:space="preserve">Tensio TS vil kunne utføre kappetester på høgspentkabler før og etter utlegging. Feil som har oppstått i løpet av kabelutlegginga vil repareres for utbygger sin regning. </w:t>
      </w:r>
    </w:p>
    <w:p w:rsidR="007B5F12" w:rsidP="007B5F12" w14:paraId="69F6133B" w14:textId="77777777">
      <w:pPr>
        <w:ind w:left="715"/>
      </w:pPr>
    </w:p>
    <w:p w:rsidR="007B5F12" w:rsidRPr="008D745C" w:rsidP="007B5F12" w14:paraId="204CA490" w14:textId="77777777">
      <w:pPr>
        <w:pStyle w:val="ListParagraph"/>
        <w:numPr>
          <w:ilvl w:val="0"/>
          <w:numId w:val="36"/>
        </w:numPr>
        <w:ind w:left="1065" w:right="475"/>
      </w:pPr>
      <w:r w:rsidRPr="008D745C">
        <w:t xml:space="preserve">Tensio TS stiller krav om bildedokumentasjon med GPS referanser av kabler i åpen grøft. Bildene skal dokumentere korrekt kabelbehandling og at kabel er forlagt i godkjente masser. </w:t>
      </w:r>
    </w:p>
    <w:p w:rsidR="007B5F12" w:rsidP="007B5F12" w14:paraId="3751F1E5" w14:textId="77777777">
      <w:pPr>
        <w:ind w:left="715"/>
      </w:pPr>
    </w:p>
    <w:p w:rsidR="007B5F12" w:rsidRPr="008D745C" w:rsidP="007B5F12" w14:paraId="5DB99FE7" w14:textId="77777777">
      <w:pPr>
        <w:pStyle w:val="ListParagraph"/>
        <w:numPr>
          <w:ilvl w:val="0"/>
          <w:numId w:val="36"/>
        </w:numPr>
        <w:ind w:left="1065" w:right="475"/>
      </w:pPr>
      <w:r w:rsidRPr="008D745C">
        <w:t xml:space="preserve">Komponenter over bakken og kabeltraseer skal innmåles og det skal angis rekkefølge på kabler forlagt i grøft. Dokumentasjon av innmålte komponenter og traseer, med angivelse av plassering av eventuelle kabelskjøter, skal leveres Tensio TS på godkjent elektronisk format. </w:t>
      </w:r>
    </w:p>
    <w:p w:rsidR="007B5F12" w:rsidRPr="008D745C" w:rsidP="007B5F12" w14:paraId="35384639" w14:textId="77777777">
      <w:r w:rsidRPr="008D745C">
        <w:t xml:space="preserve"> </w:t>
      </w:r>
    </w:p>
    <w:p w:rsidR="007B5F12" w:rsidRPr="008D745C" w:rsidP="003A38C1" w14:paraId="4AEAC25C" w14:textId="77777777">
      <w:pPr>
        <w:pStyle w:val="Heading2"/>
      </w:pPr>
      <w:bookmarkStart w:id="81" w:name="_Toc130984397"/>
      <w:bookmarkStart w:id="82" w:name="_Toc256000036"/>
      <w:r>
        <w:t>Byggherrerollen</w:t>
      </w:r>
      <w:bookmarkEnd w:id="82"/>
      <w:bookmarkEnd w:id="81"/>
      <w:r w:rsidRPr="008D745C">
        <w:t xml:space="preserve"> </w:t>
      </w:r>
    </w:p>
    <w:p w:rsidR="007B5F12" w:rsidRPr="008D745C" w:rsidP="007B5F12" w14:paraId="2B2F3278" w14:textId="77777777">
      <w:pPr>
        <w:keepNext/>
        <w:keepLines/>
      </w:pPr>
      <w:r w:rsidRPr="008D745C">
        <w:t>Forskrift om sikkerhet, helse og arbeidsmiljø på bygge- eller anleggsplasser (</w:t>
      </w:r>
      <w:r w:rsidRPr="008D745C">
        <w:rPr>
          <w:b/>
        </w:rPr>
        <w:t>byggherreforskriften</w:t>
      </w:r>
      <w:r w:rsidRPr="008D745C">
        <w:t xml:space="preserve">) beskriver pliktene som byggherren har gjennom hele bygge- eller anleggsprosessen, fra idèutkast, planlegging, byggestart, gjennomføring og til eventuelt framtidig ombygging og riving. </w:t>
      </w:r>
    </w:p>
    <w:p w:rsidR="007B5F12" w:rsidRPr="008D745C" w:rsidP="007B5F12" w14:paraId="4CAFE069" w14:textId="77777777">
      <w:pPr>
        <w:keepNext/>
        <w:keepLines/>
        <w:rPr>
          <w:sz w:val="18"/>
        </w:rPr>
      </w:pPr>
      <w:r w:rsidRPr="008D745C">
        <w:t xml:space="preserve"> </w:t>
      </w:r>
    </w:p>
    <w:p w:rsidR="007B5F12" w:rsidRPr="008D745C" w:rsidP="007B5F12" w14:paraId="12410C8A" w14:textId="77777777">
      <w:pPr>
        <w:pStyle w:val="ListParagraph"/>
        <w:keepNext/>
        <w:keepLines/>
        <w:numPr>
          <w:ilvl w:val="0"/>
          <w:numId w:val="37"/>
        </w:numPr>
        <w:ind w:right="475"/>
      </w:pPr>
      <w:r w:rsidRPr="008D745C">
        <w:t xml:space="preserve">Utbygger har alltid byggherreansvaret inne på egen anleggsplass og må påse at ansvar gitt av denne forskriften overholdes.  </w:t>
      </w:r>
    </w:p>
    <w:p w:rsidR="007B5F12" w:rsidRPr="008D745C" w:rsidP="007B5F12" w14:paraId="648ACF4A" w14:textId="77777777">
      <w:pPr>
        <w:pStyle w:val="ListParagraph"/>
        <w:keepNext/>
        <w:keepLines/>
        <w:numPr>
          <w:ilvl w:val="0"/>
          <w:numId w:val="37"/>
        </w:numPr>
        <w:ind w:right="475"/>
      </w:pPr>
      <w:r w:rsidRPr="008D745C">
        <w:t>Dersom utbygger velger å ha regi på graveentreprenør utenfor egen (opprinnelige) anleggsplass må utbygger utvide sitt byggherreområde til å gjelde alle arbeidene som utføres på Tensio TS sitt anlegg i regi av utbygger.</w:t>
      </w:r>
    </w:p>
    <w:p w:rsidR="007B5F12" w:rsidRPr="008D745C" w:rsidP="007B5F12" w14:paraId="3C3F3CD3" w14:textId="77777777">
      <w:pPr>
        <w:keepNext/>
        <w:keepLines/>
      </w:pPr>
      <w:r w:rsidRPr="008D745C">
        <w:t xml:space="preserve"> </w:t>
      </w:r>
    </w:p>
    <w:p w:rsidR="007B5F12" w:rsidP="007B5F12" w14:paraId="610D368E" w14:textId="77777777">
      <w:r w:rsidRPr="008D745C">
        <w:t xml:space="preserve">I Nettutbyggingsavtalen vil det beskrives hvem som er byggherre for arbeidene som skal gjøres i forbindelse med etablering av Tensio TS sine anlegg </w:t>
      </w:r>
    </w:p>
    <w:p w:rsidR="007B5F12" w:rsidP="007B5F12" w14:paraId="52F2BF80" w14:textId="77777777"/>
    <w:p w:rsidR="007B5F12" w:rsidRPr="008D745C" w:rsidP="003A38C1" w14:paraId="45A96A24" w14:textId="77777777">
      <w:pPr>
        <w:pStyle w:val="Heading2"/>
      </w:pPr>
      <w:bookmarkStart w:id="83" w:name="_Toc130984398"/>
      <w:bookmarkStart w:id="84" w:name="_Toc256000037"/>
      <w:r w:rsidRPr="0019403A">
        <w:t>Fremdriftsavtaler, konsekvenser ved utsettelser</w:t>
      </w:r>
      <w:bookmarkEnd w:id="84"/>
      <w:bookmarkEnd w:id="83"/>
    </w:p>
    <w:p w:rsidR="007B5F12" w:rsidRPr="008D745C" w:rsidP="007B5F12" w14:paraId="0F59BC5A" w14:textId="77777777">
      <w:pPr>
        <w:pStyle w:val="ListParagraph"/>
        <w:keepNext/>
        <w:keepLines/>
        <w:numPr>
          <w:ilvl w:val="0"/>
          <w:numId w:val="38"/>
        </w:numPr>
        <w:ind w:right="475"/>
      </w:pPr>
      <w:r w:rsidRPr="008D745C">
        <w:t>Der Tensio TS sin anleggsleder, i forbindelse med koordinering av Tensio TS sine interne ressurser og/eller underleverandører, gjør spesifikke, skriftlige, avtaler om fremdrift med utbygger eller utbyggers representanter, vil eventuelle kostnader på grunn av forsinkelser som skyldes utbygger/utbyggers representanter, som ikke varsles Tensio TS sin anleggsleder i tilstrekkelig god tid, kunne faktureres utbygger i sin helhet. Grunnlaget for faktura vil være medgått kostnad</w:t>
      </w:r>
      <w:r>
        <w:t>.</w:t>
      </w:r>
    </w:p>
    <w:p w:rsidR="007B5F12" w:rsidP="007B5F12" w14:paraId="009B70F0" w14:textId="77777777">
      <w:pPr>
        <w:pStyle w:val="ListParagraph"/>
        <w:keepNext/>
        <w:keepLines/>
        <w:numPr>
          <w:ilvl w:val="0"/>
          <w:numId w:val="38"/>
        </w:numPr>
        <w:ind w:right="475"/>
      </w:pPr>
      <w:r w:rsidRPr="008D745C">
        <w:t xml:space="preserve">Dersom det ikke avtales kortere tidsfrister anses «tilstrekkelig god tid» å være minimum 2 uker før avtalt oppstartstidspunkt. </w:t>
      </w:r>
    </w:p>
    <w:p w:rsidR="007B5F12" w:rsidP="007B5F12" w14:paraId="6648490E" w14:textId="77777777">
      <w:pPr>
        <w:keepNext/>
        <w:keepLines/>
        <w:ind w:left="0" w:firstLine="0"/>
      </w:pPr>
    </w:p>
    <w:p w:rsidR="007B5F12" w:rsidRPr="008D745C" w:rsidP="007B5F12" w14:paraId="7E277BD2" w14:textId="77777777"/>
    <w:p w:rsidR="007B5F12" w:rsidRPr="008D745C" w:rsidP="007B5F12" w14:paraId="4BC61582" w14:textId="77777777">
      <w:pPr>
        <w:rPr>
          <w:sz w:val="18"/>
        </w:rPr>
      </w:pPr>
      <w:r w:rsidRPr="008D745C">
        <w:t xml:space="preserve"> </w:t>
      </w:r>
    </w:p>
    <w:p w:rsidR="00485FBF" w:rsidP="007B5F12" w14:paraId="62367EDA" w14:textId="790F76EB">
      <w:pPr>
        <w:ind w:left="0" w:firstLine="0"/>
        <w:rPr>
          <w:rFonts w:cstheme="minorHAnsi"/>
        </w:rPr>
      </w:pPr>
    </w:p>
    <w:sectPr w:rsidSect="00256083">
      <w:headerReference w:type="even" r:id="rId16"/>
      <w:headerReference w:type="default" r:id="rId17"/>
      <w:footerReference w:type="even" r:id="rId18"/>
      <w:footerReference w:type="default" r:id="rId19"/>
      <w:headerReference w:type="first" r:id="rId20"/>
      <w:footerReference w:type="first" r:id="rId21"/>
      <w:pgSz w:w="11906" w:h="16841"/>
      <w:pgMar w:top="720" w:right="720" w:bottom="720" w:left="720" w:header="224" w:footer="39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71626" w14:paraId="39F94C62" w14:textId="77777777">
      <w:pPr>
        <w:spacing w:after="0" w:line="240" w:lineRule="auto"/>
      </w:pPr>
      <w:r>
        <w:separator/>
      </w:r>
    </w:p>
  </w:endnote>
  <w:endnote w:type="continuationSeparator" w:id="1">
    <w:p w:rsidR="00671626" w14:paraId="6C002C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2473" w:rsidP="00DE62A0" w14:paraId="2540AC3F" w14:textId="77777777">
    <w:r>
      <w:rPr>
        <w:rFonts w:eastAsia="Calibri"/>
        <w:noProof/>
      </w:rPr>
      <mc:AlternateContent>
        <mc:Choice Requires="wpg">
          <w:drawing>
            <wp:anchor distT="0" distB="0" distL="114300" distR="114300" simplePos="0" relativeHeight="251658240" behindDoc="0" locked="0" layoutInCell="1" allowOverlap="1">
              <wp:simplePos x="0" y="0"/>
              <wp:positionH relativeFrom="page">
                <wp:posOffset>438912</wp:posOffset>
              </wp:positionH>
              <wp:positionV relativeFrom="page">
                <wp:posOffset>10311383</wp:posOffset>
              </wp:positionV>
              <wp:extent cx="6542532" cy="6097"/>
              <wp:effectExtent l="0" t="0" r="0" b="0"/>
              <wp:wrapSquare wrapText="bothSides"/>
              <wp:docPr id="23" name="Gruppe 23"/>
              <wp:cNvGraphicFramePr/>
              <a:graphic xmlns:a="http://schemas.openxmlformats.org/drawingml/2006/main">
                <a:graphicData uri="http://schemas.microsoft.com/office/word/2010/wordprocessingGroup">
                  <wpg:wgp xmlns:wpg="http://schemas.microsoft.com/office/word/2010/wordprocessingGroup">
                    <wpg:cNvGrpSpPr/>
                    <wpg:grpSpPr>
                      <a:xfrm>
                        <a:off x="0" y="0"/>
                        <a:ext cx="6542532" cy="6097"/>
                        <a:chOff x="0" y="0"/>
                        <a:chExt cx="6542532" cy="6097"/>
                      </a:xfrm>
                    </wpg:grpSpPr>
                    <wps:wsp xmlns:wps="http://schemas.microsoft.com/office/word/2010/wordprocessingShape">
                      <wps:cNvPr id="24" name="Shape 17946"/>
                      <wps:cNvSpPr/>
                      <wps:spPr>
                        <a:xfrm>
                          <a:off x="0" y="0"/>
                          <a:ext cx="6542532" cy="9144"/>
                        </a:xfrm>
                        <a:custGeom>
                          <a:avLst/>
                          <a:gdLst/>
                          <a:rect l="0" t="0" r="0" b="0"/>
                          <a:pathLst>
                            <a:path fill="norm" h="9144" w="6542532" stroke="1">
                              <a:moveTo>
                                <a:pt x="0" y="0"/>
                              </a:moveTo>
                              <a:lnTo>
                                <a:pt x="6542532" y="0"/>
                              </a:lnTo>
                              <a:lnTo>
                                <a:pt x="6542532" y="9144"/>
                              </a:lnTo>
                              <a:lnTo>
                                <a:pt x="0" y="9144"/>
                              </a:lnTo>
                              <a:lnTo>
                                <a:pt x="0" y="0"/>
                              </a:lnTo>
                            </a:path>
                          </a:pathLst>
                        </a:custGeom>
                        <a:ln w="0">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uppe 23" o:spid="_x0000_s2059" style="width:515.15pt;height:0.5pt;margin-top:811.9pt;margin-left:34.55pt;mso-position-horizontal-relative:page;mso-position-vertical-relative:page;position:absolute;z-index:251660288" coordsize="65425,60">
              <v:shape id="Shape 17946" o:spid="_x0000_s2060" style="width:65425;height:91;mso-wrap-style:square;position:absolute;visibility:visible;v-text-anchor:top" coordsize="6542532,9144" path="m,l6542532,l6542532,9144l,9144,,e" fillcolor="#d9d9d9" stroked="f">
                <v:stroke joinstyle="miter"/>
                <v:path arrowok="t" textboxrect="0,0,6542532,9144"/>
              </v:shape>
              <w10:wrap type="square"/>
            </v:group>
          </w:pict>
        </mc:Fallback>
      </mc:AlternateContent>
    </w:r>
    <w:r>
      <w:rPr>
        <w:rFonts w:eastAsia="Calibri"/>
        <w:b/>
        <w:sz w:val="20"/>
      </w:rPr>
      <w:t xml:space="preserve">  </w:t>
    </w:r>
    <w:r>
      <w:rPr>
        <w:rFonts w:eastAsia="Calibri"/>
      </w:rPr>
      <w:t xml:space="preserve">Vedlegg 3 til Standard avtale om nettutbygging </w:t>
    </w:r>
    <w:r>
      <w:rPr>
        <w:rFonts w:eastAsia="Calibri"/>
      </w:rPr>
      <w:fldChar w:fldCharType="begin"/>
    </w:r>
    <w:r>
      <w:rPr>
        <w:rFonts w:eastAsia="Calibri"/>
      </w:rPr>
      <w:instrText xml:space="preserve"> PAGE   \* MERGEFORMAT </w:instrText>
    </w:r>
    <w:r>
      <w:rPr>
        <w:rFonts w:eastAsia="Calibri"/>
      </w:rPr>
      <w:fldChar w:fldCharType="separate"/>
    </w:r>
    <w:r>
      <w:rPr>
        <w:rFonts w:eastAsia="Calibri"/>
      </w:rPr>
      <w:t>10</w:t>
    </w:r>
    <w:r>
      <w:rPr>
        <w:rFonts w:eastAsia="Calibri"/>
      </w:rPr>
      <w:fldChar w:fldCharType="end"/>
    </w:r>
    <w:r>
      <w:rPr>
        <w:rFonts w:eastAsia="Calibri"/>
      </w:rPr>
      <w:t xml:space="preserve"> </w:t>
    </w:r>
  </w:p>
  <w:p w:rsidR="00612473" w:rsidP="00DE62A0" w14:paraId="3D1CB3C5" w14:textId="77777777">
    <w:r>
      <w:rPr>
        <w:rFonts w:eastAsia="Calibri"/>
        <w:sz w:val="16"/>
      </w:rPr>
      <w:t xml:space="preserve"> </w:t>
    </w:r>
    <w:r>
      <w:rPr>
        <w:rFonts w:eastAsia="Calibri"/>
        <w:color w:val="808080"/>
      </w:rPr>
      <w:t>S i d e</w:t>
    </w:r>
    <w:r>
      <w:rPr>
        <w:rFonts w:eastAsia="Calibri"/>
      </w:rPr>
      <w:t xml:space="preserve"> | </w:t>
    </w:r>
    <w:r>
      <w:rPr>
        <w:rFonts w:eastAsia="Calibri"/>
      </w:rPr>
      <w:fldChar w:fldCharType="begin"/>
    </w:r>
    <w:r>
      <w:rPr>
        <w:rFonts w:eastAsia="Calibri"/>
      </w:rPr>
      <w:instrText xml:space="preserve"> PAGE   \* MERGEFORMAT </w:instrText>
    </w:r>
    <w:r>
      <w:rPr>
        <w:rFonts w:eastAsia="Calibri"/>
      </w:rPr>
      <w:fldChar w:fldCharType="separate"/>
    </w:r>
    <w:r>
      <w:rPr>
        <w:rFonts w:eastAsia="Calibri"/>
      </w:rPr>
      <w:t>10</w:t>
    </w:r>
    <w:r>
      <w:rPr>
        <w:rFonts w:eastAsia="Calibri"/>
      </w:rPr>
      <w:fldChar w:fldCharType="end"/>
    </w:r>
    <w:r>
      <w:rPr>
        <w:rFonts w:eastAsia="Calibri"/>
      </w:rPr>
      <w:t xml:space="preserve"> </w:t>
    </w:r>
  </w:p>
  <w:p w:rsidR="00612473" w:rsidP="00DE62A0" w14:paraId="11295FF7" w14:textId="77777777">
    <w:r>
      <w:rPr>
        <w:rFonts w:eastAsia="Calibri"/>
      </w:rPr>
      <w:t xml:space="preserve"> </w:t>
    </w:r>
  </w:p>
  <w:p w:rsidR="00D97FFB" w14:paraId="259E170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F55" w:rsidP="00C62044" w14:paraId="43E129EF" w14:textId="77777777">
    <w:pPr>
      <w:pBdr>
        <w:top w:val="single" w:sz="4" w:space="1" w:color="AEAAAA" w:themeColor="background2" w:themeShade="BF"/>
      </w:pBdr>
      <w:rPr>
        <w:rFonts w:eastAsia="Calibri"/>
      </w:rPr>
    </w:pPr>
    <w:r>
      <w:rPr>
        <w:rFonts w:eastAsia="Calibri"/>
      </w:rPr>
      <w:t xml:space="preserve"> </w:t>
    </w:r>
  </w:p>
  <w:p w:rsidR="00BF0736" w:rsidRPr="00BF0736" w:rsidP="00DE62A0" w14:paraId="30128A45" w14:textId="77777777">
    <w:pPr>
      <w:rPr>
        <w:rFonts w:eastAsia="Calibri"/>
      </w:rPr>
    </w:pPr>
    <w:r>
      <w:rPr>
        <w:rFonts w:eastAsia="Calibri"/>
        <w:color w:val="808080"/>
      </w:rPr>
      <w:t>S i d e</w:t>
    </w:r>
    <w:r>
      <w:rPr>
        <w:rFonts w:eastAsia="Calibri"/>
      </w:rPr>
      <w:t xml:space="preserve"> | </w:t>
    </w:r>
    <w:r>
      <w:rPr>
        <w:rFonts w:eastAsia="Calibri"/>
      </w:rPr>
      <w:fldChar w:fldCharType="begin"/>
    </w:r>
    <w:r>
      <w:rPr>
        <w:rFonts w:eastAsia="Calibri"/>
      </w:rPr>
      <w:instrText xml:space="preserve"> PAGE   \* MERGEFORMAT </w:instrText>
    </w:r>
    <w:r>
      <w:rPr>
        <w:rFonts w:eastAsia="Calibri"/>
      </w:rPr>
      <w:fldChar w:fldCharType="separate"/>
    </w:r>
    <w:r>
      <w:rPr>
        <w:rFonts w:eastAsia="Calibri"/>
      </w:rPr>
      <w:t>13</w:t>
    </w:r>
    <w:r>
      <w:rPr>
        <w:rFonts w:eastAsia="Calibri"/>
      </w:rPr>
      <w:fldChar w:fldCharType="end"/>
    </w:r>
    <w:r>
      <w:rPr>
        <w:rFonts w:eastAsia="Calibri"/>
      </w:rPr>
      <w:t xml:space="preserve"> </w:t>
    </w:r>
    <w:r w:rsidR="00F43B20">
      <w:rPr>
        <w:rFonts w:eastAsia="Calibri"/>
      </w:rPr>
      <w:tab/>
    </w:r>
    <w:r w:rsidRPr="00BF0736" w:rsidR="00F43B20">
      <w:rPr>
        <w:rFonts w:eastAsia="Calibri"/>
      </w:rPr>
      <w:t xml:space="preserve"> </w:t>
    </w:r>
  </w:p>
  <w:p w:rsidR="00D97FFB" w14:paraId="22288439"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2473" w:rsidP="00DE62A0" w14:paraId="344C6BEC" w14:textId="1BD643E5">
    <w:r>
      <w:rPr>
        <w:rFonts w:eastAsia="Calibri"/>
        <w:noProof/>
      </w:rPr>
      <mc:AlternateContent>
        <mc:Choice Requires="wpg">
          <w:drawing>
            <wp:anchor distT="0" distB="0" distL="114300" distR="114300" simplePos="0" relativeHeight="251659264" behindDoc="0" locked="0" layoutInCell="1" allowOverlap="1">
              <wp:simplePos x="0" y="0"/>
              <wp:positionH relativeFrom="page">
                <wp:posOffset>438912</wp:posOffset>
              </wp:positionH>
              <wp:positionV relativeFrom="page">
                <wp:posOffset>10311383</wp:posOffset>
              </wp:positionV>
              <wp:extent cx="6542532" cy="6097"/>
              <wp:effectExtent l="0" t="0" r="0" b="0"/>
              <wp:wrapSquare wrapText="bothSides"/>
              <wp:docPr id="17251" name="Gruppe 17251"/>
              <wp:cNvGraphicFramePr/>
              <a:graphic xmlns:a="http://schemas.openxmlformats.org/drawingml/2006/main">
                <a:graphicData uri="http://schemas.microsoft.com/office/word/2010/wordprocessingGroup">
                  <wpg:wgp xmlns:wpg="http://schemas.microsoft.com/office/word/2010/wordprocessingGroup">
                    <wpg:cNvGrpSpPr/>
                    <wpg:grpSpPr>
                      <a:xfrm>
                        <a:off x="0" y="0"/>
                        <a:ext cx="6542532" cy="6097"/>
                        <a:chOff x="0" y="0"/>
                        <a:chExt cx="6542532" cy="6097"/>
                      </a:xfrm>
                    </wpg:grpSpPr>
                    <wps:wsp xmlns:wps="http://schemas.microsoft.com/office/word/2010/wordprocessingShape">
                      <wps:cNvPr id="17252" name="Shape 17942"/>
                      <wps:cNvSpPr/>
                      <wps:spPr>
                        <a:xfrm>
                          <a:off x="0" y="0"/>
                          <a:ext cx="6542532" cy="9144"/>
                        </a:xfrm>
                        <a:custGeom>
                          <a:avLst/>
                          <a:gdLst/>
                          <a:rect l="0" t="0" r="0" b="0"/>
                          <a:pathLst>
                            <a:path fill="norm" h="9144" w="6542532" stroke="1">
                              <a:moveTo>
                                <a:pt x="0" y="0"/>
                              </a:moveTo>
                              <a:lnTo>
                                <a:pt x="6542532" y="0"/>
                              </a:lnTo>
                              <a:lnTo>
                                <a:pt x="6542532" y="9144"/>
                              </a:lnTo>
                              <a:lnTo>
                                <a:pt x="0" y="9144"/>
                              </a:lnTo>
                              <a:lnTo>
                                <a:pt x="0" y="0"/>
                              </a:lnTo>
                            </a:path>
                          </a:pathLst>
                        </a:custGeom>
                        <a:ln w="0">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uppe 17251" o:spid="_x0000_s2061" style="width:515.15pt;height:0.5pt;margin-top:811.9pt;margin-left:34.55pt;mso-position-horizontal-relative:page;mso-position-vertical-relative:page;position:absolute;z-index:251661312" coordsize="65425,60">
              <v:shape id="Shape 17942" o:spid="_x0000_s2062" style="width:65425;height:91;mso-wrap-style:square;position:absolute;visibility:visible;v-text-anchor:top" coordsize="6542532,9144" path="m,l6542532,l6542532,9144l,9144,,e" fillcolor="#d9d9d9" stroked="f">
                <v:stroke joinstyle="miter"/>
                <v:path arrowok="t" textboxrect="0,0,6542532,9144"/>
              </v:shape>
              <w10:wrap type="square"/>
            </v:group>
          </w:pict>
        </mc:Fallback>
      </mc:AlternateContent>
    </w:r>
    <w:r>
      <w:rPr>
        <w:rFonts w:eastAsia="Calibri"/>
        <w:b/>
        <w:sz w:val="20"/>
      </w:rPr>
      <w:t xml:space="preserve">  </w:t>
    </w:r>
  </w:p>
  <w:p w:rsidR="00612473" w:rsidP="00DE62A0" w14:paraId="72D4FC1F" w14:textId="77777777">
    <w:r>
      <w:rPr>
        <w:rFonts w:eastAsia="Calibri"/>
        <w:sz w:val="16"/>
      </w:rPr>
      <w:t xml:space="preserve"> </w:t>
    </w:r>
    <w:r>
      <w:rPr>
        <w:rFonts w:eastAsia="Calibri"/>
        <w:color w:val="808080"/>
      </w:rPr>
      <w:t>S i d e</w:t>
    </w:r>
    <w:r>
      <w:rPr>
        <w:rFonts w:eastAsia="Calibri"/>
      </w:rPr>
      <w:t xml:space="preserve"> | </w:t>
    </w:r>
    <w:r>
      <w:rPr>
        <w:rFonts w:eastAsia="Calibri"/>
      </w:rPr>
      <w:fldChar w:fldCharType="begin"/>
    </w:r>
    <w:r>
      <w:rPr>
        <w:rFonts w:eastAsia="Calibri"/>
      </w:rPr>
      <w:instrText xml:space="preserve"> PAGE   \* MERGEFORMAT </w:instrText>
    </w:r>
    <w:r>
      <w:rPr>
        <w:rFonts w:eastAsia="Calibri"/>
      </w:rPr>
      <w:fldChar w:fldCharType="separate"/>
    </w:r>
    <w:r>
      <w:rPr>
        <w:rFonts w:eastAsia="Calibri"/>
      </w:rPr>
      <w:t>1</w:t>
    </w:r>
    <w:r>
      <w:rPr>
        <w:rFonts w:eastAsia="Calibri"/>
      </w:rPr>
      <w:fldChar w:fldCharType="end"/>
    </w:r>
    <w:r>
      <w:rPr>
        <w:rFonts w:eastAsia="Calibri"/>
      </w:rPr>
      <w:t xml:space="preserve"> </w:t>
    </w:r>
  </w:p>
  <w:p w:rsidR="00612473" w:rsidP="00DE62A0" w14:paraId="6FD924B9" w14:textId="77777777">
    <w:r>
      <w:rPr>
        <w:rFonts w:eastAsia="Calibri"/>
      </w:rPr>
      <w:t xml:space="preserve"> </w:t>
    </w:r>
  </w:p>
  <w:p w:rsidR="00D97FFB" w14:paraId="7DA6A70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5445" w14:paraId="7E03760D" w14:textId="77777777">
      <w:pPr>
        <w:spacing w:after="0" w:line="240" w:lineRule="auto"/>
      </w:pPr>
      <w:r>
        <w:separator/>
      </w:r>
    </w:p>
    <w:p w:rsidR="00D97FFB" w14:paraId="1DE6E6A4" w14:textId="77777777"/>
  </w:footnote>
  <w:footnote w:type="continuationSeparator" w:id="1">
    <w:p w:rsidR="00465445" w14:paraId="54304CD7" w14:textId="77777777">
      <w:pPr>
        <w:spacing w:after="0" w:line="240" w:lineRule="auto"/>
      </w:pPr>
      <w:r>
        <w:continuationSeparator/>
      </w:r>
    </w:p>
    <w:p w:rsidR="00D97FFB" w14:paraId="57FC49BA" w14:textId="77777777"/>
  </w:footnote>
  <w:footnote w:id="2">
    <w:p w:rsidR="007B5F12" w:rsidP="007B5F12" w14:paraId="067D8BED" w14:textId="77777777">
      <w:pPr>
        <w:pStyle w:val="FootnoteText"/>
      </w:pPr>
      <w:r>
        <w:rPr>
          <w:rStyle w:val="FootnoteReference"/>
        </w:rPr>
        <w:footnoteRef/>
      </w:r>
      <w:r>
        <w:t xml:space="preserve"> Hjemmel </w:t>
      </w:r>
      <w:r w:rsidRPr="002F46A2">
        <w:t xml:space="preserve">er regulert i «Forskrift om økonomisk og teknisk rapportering, inntektsramme for nettvirksomheten og tariffer» (FOR-1999-03-11-302), </w:t>
      </w:r>
      <w:r>
        <w:t>kapittel 16, og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2473" w:rsidP="00DE62A0" w14:paraId="0D58C304" w14:textId="77777777">
    <w:r>
      <w:rPr>
        <w:rFonts w:eastAsia="Calibri"/>
        <w:noProof/>
      </w:rPr>
      <mc:AlternateContent>
        <mc:Choice Requires="wpg">
          <w:drawing>
            <wp:anchor distT="0" distB="0" distL="114300" distR="114300" simplePos="0" relativeHeight="251658240" behindDoc="0" locked="0" layoutInCell="1" allowOverlap="1">
              <wp:simplePos x="0" y="0"/>
              <wp:positionH relativeFrom="page">
                <wp:posOffset>311150</wp:posOffset>
              </wp:positionH>
              <wp:positionV relativeFrom="page">
                <wp:posOffset>142240</wp:posOffset>
              </wp:positionV>
              <wp:extent cx="6825425" cy="642620"/>
              <wp:effectExtent l="0" t="0" r="0" b="0"/>
              <wp:wrapSquare wrapText="bothSides"/>
              <wp:docPr id="13" name="Gruppe 13"/>
              <wp:cNvGraphicFramePr/>
              <a:graphic xmlns:a="http://schemas.openxmlformats.org/drawingml/2006/main">
                <a:graphicData uri="http://schemas.microsoft.com/office/word/2010/wordprocessingGroup">
                  <wpg:wgp xmlns:wpg="http://schemas.microsoft.com/office/word/2010/wordprocessingGroup">
                    <wpg:cNvGrpSpPr/>
                    <wpg:grpSpPr>
                      <a:xfrm>
                        <a:off x="0" y="0"/>
                        <a:ext cx="6825425" cy="642620"/>
                        <a:chOff x="0" y="0"/>
                        <a:chExt cx="6825425" cy="642620"/>
                      </a:xfrm>
                    </wpg:grpSpPr>
                    <wps:wsp xmlns:wps="http://schemas.microsoft.com/office/word/2010/wordprocessingShape">
                      <wps:cNvPr id="14" name="Rectangle 17335"/>
                      <wps:cNvSpPr/>
                      <wps:spPr>
                        <a:xfrm>
                          <a:off x="1571244" y="495935"/>
                          <a:ext cx="3059678" cy="171355"/>
                        </a:xfrm>
                        <a:prstGeom prst="rect">
                          <a:avLst/>
                        </a:prstGeom>
                        <a:ln>
                          <a:noFill/>
                        </a:ln>
                      </wps:spPr>
                      <wps:txbx>
                        <w:txbxContent>
                          <w:p w:rsidR="00612473" w:rsidP="00DE62A0" w14:paraId="268DB8C1" w14:textId="77777777">
                            <w:r>
                              <w:rPr>
                                <w:rFonts w:eastAsia="Calibri"/>
                              </w:rPr>
                              <w:t xml:space="preserve">TrønderEnergi Nett AS                                       </w:t>
                            </w:r>
                          </w:p>
                        </w:txbxContent>
                      </wps:txbx>
                      <wps:bodyPr horzOverflow="overflow" vert="horz" lIns="0" tIns="0" rIns="0" bIns="0" rtlCol="0"/>
                    </wps:wsp>
                    <wps:wsp xmlns:wps="http://schemas.microsoft.com/office/word/2010/wordprocessingShape">
                      <wps:cNvPr id="15" name="Rectangle 17336"/>
                      <wps:cNvSpPr/>
                      <wps:spPr>
                        <a:xfrm>
                          <a:off x="3876167" y="495935"/>
                          <a:ext cx="38021" cy="171355"/>
                        </a:xfrm>
                        <a:prstGeom prst="rect">
                          <a:avLst/>
                        </a:prstGeom>
                        <a:ln>
                          <a:noFill/>
                        </a:ln>
                      </wps:spPr>
                      <wps:txbx>
                        <w:txbxContent>
                          <w:p w:rsidR="00612473" w:rsidP="00DE62A0" w14:paraId="2FFAA855" w14:textId="77777777">
                            <w:r>
                              <w:rPr>
                                <w:rFonts w:eastAsia="Calibri"/>
                              </w:rPr>
                              <w:t xml:space="preserve"> </w:t>
                            </w:r>
                          </w:p>
                        </w:txbxContent>
                      </wps:txbx>
                      <wps:bodyPr horzOverflow="overflow" vert="horz" lIns="0" tIns="0" rIns="0" bIns="0" rtlCol="0"/>
                    </wps:wsp>
                    <wps:wsp xmlns:wps="http://schemas.microsoft.com/office/word/2010/wordprocessingShape">
                      <wps:cNvPr id="16" name="Rectangle 17337"/>
                      <wps:cNvSpPr/>
                      <wps:spPr>
                        <a:xfrm>
                          <a:off x="3905123" y="495935"/>
                          <a:ext cx="1959089" cy="171355"/>
                        </a:xfrm>
                        <a:prstGeom prst="rect">
                          <a:avLst/>
                        </a:prstGeom>
                        <a:ln>
                          <a:noFill/>
                        </a:ln>
                      </wps:spPr>
                      <wps:txbx>
                        <w:txbxContent>
                          <w:p w:rsidR="00612473" w:rsidP="00DE62A0" w14:paraId="2EC65168" w14:textId="77777777">
                            <w:r>
                              <w:rPr>
                                <w:rFonts w:eastAsia="Calibri"/>
                              </w:rPr>
                              <w:t xml:space="preserve">Vilkår for Nettinvesteringer </w:t>
                            </w:r>
                          </w:p>
                        </w:txbxContent>
                      </wps:txbx>
                      <wps:bodyPr horzOverflow="overflow" vert="horz" lIns="0" tIns="0" rIns="0" bIns="0" rtlCol="0"/>
                    </wps:wsp>
                    <wps:wsp xmlns:wps="http://schemas.microsoft.com/office/word/2010/wordprocessingShape">
                      <wps:cNvPr id="17" name="Rectangle 17338"/>
                      <wps:cNvSpPr/>
                      <wps:spPr>
                        <a:xfrm>
                          <a:off x="5380736" y="495935"/>
                          <a:ext cx="38021" cy="171355"/>
                        </a:xfrm>
                        <a:prstGeom prst="rect">
                          <a:avLst/>
                        </a:prstGeom>
                        <a:ln>
                          <a:noFill/>
                        </a:ln>
                      </wps:spPr>
                      <wps:txbx>
                        <w:txbxContent>
                          <w:p w:rsidR="00612473" w:rsidP="00DE62A0" w14:paraId="0ECAB20E" w14:textId="77777777">
                            <w:r>
                              <w:rPr>
                                <w:rFonts w:eastAsia="Calibri"/>
                              </w:rPr>
                              <w:t xml:space="preserve"> </w:t>
                            </w:r>
                          </w:p>
                        </w:txbxContent>
                      </wps:txbx>
                      <wps:bodyPr horzOverflow="overflow" vert="horz" lIns="0" tIns="0" rIns="0" bIns="0" rtlCol="0"/>
                    </wps:wsp>
                    <wps:wsp xmlns:wps="http://schemas.microsoft.com/office/word/2010/wordprocessingShape">
                      <wps:cNvPr id="18" name="Rectangle 17339"/>
                      <wps:cNvSpPr/>
                      <wps:spPr>
                        <a:xfrm>
                          <a:off x="5409692" y="495935"/>
                          <a:ext cx="866575" cy="171355"/>
                        </a:xfrm>
                        <a:prstGeom prst="rect">
                          <a:avLst/>
                        </a:prstGeom>
                        <a:ln>
                          <a:noFill/>
                        </a:ln>
                      </wps:spPr>
                      <wps:txbx>
                        <w:txbxContent>
                          <w:p w:rsidR="00612473" w:rsidP="00DE62A0" w14:paraId="5D2C159E" w14:textId="77777777">
                            <w:r>
                              <w:rPr>
                                <w:rFonts w:eastAsia="Calibri"/>
                              </w:rPr>
                              <w:t xml:space="preserve">som utløser </w:t>
                            </w:r>
                          </w:p>
                        </w:txbxContent>
                      </wps:txbx>
                      <wps:bodyPr horzOverflow="overflow" vert="horz" lIns="0" tIns="0" rIns="0" bIns="0" rtlCol="0"/>
                    </wps:wsp>
                    <wps:wsp xmlns:wps="http://schemas.microsoft.com/office/word/2010/wordprocessingShape">
                      <wps:cNvPr id="19" name="Rectangle 17340"/>
                      <wps:cNvSpPr/>
                      <wps:spPr>
                        <a:xfrm>
                          <a:off x="6061964" y="495935"/>
                          <a:ext cx="970712" cy="171355"/>
                        </a:xfrm>
                        <a:prstGeom prst="rect">
                          <a:avLst/>
                        </a:prstGeom>
                        <a:ln>
                          <a:noFill/>
                        </a:ln>
                      </wps:spPr>
                      <wps:txbx>
                        <w:txbxContent>
                          <w:p w:rsidR="00612473" w:rsidP="00DE62A0" w14:paraId="3E0A293C" w14:textId="77777777">
                            <w:r>
                              <w:rPr>
                                <w:rFonts w:eastAsia="Calibri"/>
                              </w:rPr>
                              <w:t>anleggsbidrag</w:t>
                            </w:r>
                          </w:p>
                        </w:txbxContent>
                      </wps:txbx>
                      <wps:bodyPr horzOverflow="overflow" vert="horz" lIns="0" tIns="0" rIns="0" bIns="0" rtlCol="0"/>
                    </wps:wsp>
                    <wps:wsp xmlns:wps="http://schemas.microsoft.com/office/word/2010/wordprocessingShape">
                      <wps:cNvPr id="20" name="Rectangle 17341"/>
                      <wps:cNvSpPr/>
                      <wps:spPr>
                        <a:xfrm>
                          <a:off x="6793738" y="485648"/>
                          <a:ext cx="42144" cy="189937"/>
                        </a:xfrm>
                        <a:prstGeom prst="rect">
                          <a:avLst/>
                        </a:prstGeom>
                        <a:ln>
                          <a:noFill/>
                        </a:ln>
                      </wps:spPr>
                      <wps:txbx>
                        <w:txbxContent>
                          <w:p w:rsidR="00612473" w:rsidP="00DE62A0" w14:paraId="6240F307" w14:textId="77777777">
                            <w:r>
                              <w:rPr>
                                <w:rFonts w:eastAsia="Calibri"/>
                              </w:rPr>
                              <w:t xml:space="preserve"> </w:t>
                            </w:r>
                          </w:p>
                        </w:txbxContent>
                      </wps:txbx>
                      <wps:bodyPr horzOverflow="overflow" vert="horz" lIns="0" tIns="0" rIns="0" bIns="0" rtlCol="0"/>
                    </wps:wsp>
                    <wps:wsp xmlns:wps="http://schemas.microsoft.com/office/word/2010/wordprocessingShape">
                      <wps:cNvPr id="21" name="Shape 17936"/>
                      <wps:cNvSpPr/>
                      <wps:spPr>
                        <a:xfrm>
                          <a:off x="127762" y="636525"/>
                          <a:ext cx="6684264" cy="9144"/>
                        </a:xfrm>
                        <a:custGeom>
                          <a:avLst/>
                          <a:gdLst/>
                          <a:rect l="0" t="0" r="0" b="0"/>
                          <a:pathLst>
                            <a:path fill="norm" h="9144" w="6684264" stroke="1">
                              <a:moveTo>
                                <a:pt x="0" y="0"/>
                              </a:moveTo>
                              <a:lnTo>
                                <a:pt x="6684264" y="0"/>
                              </a:lnTo>
                              <a:lnTo>
                                <a:pt x="6684264" y="9144"/>
                              </a:lnTo>
                              <a:lnTo>
                                <a:pt x="0" y="9144"/>
                              </a:lnTo>
                              <a:lnTo>
                                <a:pt x="0" y="0"/>
                              </a:lnTo>
                            </a:path>
                          </a:pathLst>
                        </a:custGeom>
                        <a:ln w="0">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22" name="Picture 17334"/>
                        <pic:cNvPicPr/>
                      </pic:nvPicPr>
                      <pic:blipFill>
                        <a:blip xmlns:r="http://schemas.openxmlformats.org/officeDocument/2006/relationships" r:embed="rId1"/>
                        <a:stretch>
                          <a:fillRect/>
                        </a:stretch>
                      </pic:blipFill>
                      <pic:spPr>
                        <a:xfrm>
                          <a:off x="0" y="0"/>
                          <a:ext cx="2465070" cy="310515"/>
                        </a:xfrm>
                        <a:prstGeom prst="rect">
                          <a:avLst/>
                        </a:prstGeom>
                      </pic:spPr>
                    </pic:pic>
                  </wpg:wgp>
                </a:graphicData>
              </a:graphic>
            </wp:anchor>
          </w:drawing>
        </mc:Choice>
        <mc:Fallback>
          <w:pict>
            <v:group id="Gruppe 13" o:spid="_x0000_s2049" style="width:537.45pt;height:50.6pt;margin-top:11.2pt;margin-left:24.5pt;mso-position-horizontal-relative:page;mso-position-vertical-relative:page;position:absolute;z-index:251659264" coordsize="68254,6426">
              <v:rect id="Rectangle 17335" o:spid="_x0000_s2050" style="width:30597;height:1713;left:15712;mso-wrap-style:square;position:absolute;top:4959;visibility:visible;v-text-anchor:top" filled="f" stroked="f">
                <v:textbox inset="0,0,0,0">
                  <w:txbxContent>
                    <w:p w:rsidR="00612473" w:rsidP="00DE62A0" w14:paraId="10EDB0AA" w14:textId="77777777">
                      <w:r>
                        <w:rPr>
                          <w:rFonts w:eastAsia="Calibri"/>
                        </w:rPr>
                        <w:t xml:space="preserve">TrønderEnergi Nett AS                                       </w:t>
                      </w:r>
                    </w:p>
                  </w:txbxContent>
                </v:textbox>
              </v:rect>
              <v:rect id="Rectangle 17336" o:spid="_x0000_s2051" style="width:380;height:1713;left:38761;mso-wrap-style:square;position:absolute;top:4959;visibility:visible;v-text-anchor:top" filled="f" stroked="f">
                <v:textbox inset="0,0,0,0">
                  <w:txbxContent>
                    <w:p w:rsidR="00612473" w:rsidP="00DE62A0" w14:paraId="095BAA15" w14:textId="77777777">
                      <w:r>
                        <w:rPr>
                          <w:rFonts w:eastAsia="Calibri"/>
                        </w:rPr>
                        <w:t xml:space="preserve"> </w:t>
                      </w:r>
                    </w:p>
                  </w:txbxContent>
                </v:textbox>
              </v:rect>
              <v:rect id="Rectangle 17337" o:spid="_x0000_s2052" style="width:19591;height:1713;left:39051;mso-wrap-style:square;position:absolute;top:4959;visibility:visible;v-text-anchor:top" filled="f" stroked="f">
                <v:textbox inset="0,0,0,0">
                  <w:txbxContent>
                    <w:p w:rsidR="00612473" w:rsidP="00DE62A0" w14:paraId="65EB787C" w14:textId="77777777">
                      <w:r>
                        <w:rPr>
                          <w:rFonts w:eastAsia="Calibri"/>
                        </w:rPr>
                        <w:t xml:space="preserve">Vilkår for Nettinvesteringer </w:t>
                      </w:r>
                    </w:p>
                  </w:txbxContent>
                </v:textbox>
              </v:rect>
              <v:rect id="Rectangle 17338" o:spid="_x0000_s2053" style="width:380;height:1713;left:53807;mso-wrap-style:square;position:absolute;top:4959;visibility:visible;v-text-anchor:top" filled="f" stroked="f">
                <v:textbox inset="0,0,0,0">
                  <w:txbxContent>
                    <w:p w:rsidR="00612473" w:rsidP="00DE62A0" w14:paraId="3601CD2E" w14:textId="77777777">
                      <w:r>
                        <w:rPr>
                          <w:rFonts w:eastAsia="Calibri"/>
                        </w:rPr>
                        <w:t xml:space="preserve"> </w:t>
                      </w:r>
                    </w:p>
                  </w:txbxContent>
                </v:textbox>
              </v:rect>
              <v:rect id="Rectangle 17339" o:spid="_x0000_s2054" style="width:8666;height:1713;left:54096;mso-wrap-style:square;position:absolute;top:4959;visibility:visible;v-text-anchor:top" filled="f" stroked="f">
                <v:textbox inset="0,0,0,0">
                  <w:txbxContent>
                    <w:p w:rsidR="00612473" w:rsidP="00DE62A0" w14:paraId="5BE213EC" w14:textId="77777777">
                      <w:r>
                        <w:rPr>
                          <w:rFonts w:eastAsia="Calibri"/>
                        </w:rPr>
                        <w:t xml:space="preserve">som utløser </w:t>
                      </w:r>
                    </w:p>
                  </w:txbxContent>
                </v:textbox>
              </v:rect>
              <v:rect id="Rectangle 17340" o:spid="_x0000_s2055" style="width:9707;height:1713;left:60619;mso-wrap-style:square;position:absolute;top:4959;visibility:visible;v-text-anchor:top" filled="f" stroked="f">
                <v:textbox inset="0,0,0,0">
                  <w:txbxContent>
                    <w:p w:rsidR="00612473" w:rsidP="00DE62A0" w14:paraId="2BFF816B" w14:textId="77777777">
                      <w:r>
                        <w:rPr>
                          <w:rFonts w:eastAsia="Calibri"/>
                        </w:rPr>
                        <w:t>anleggsbidrag</w:t>
                      </w:r>
                    </w:p>
                  </w:txbxContent>
                </v:textbox>
              </v:rect>
              <v:rect id="Rectangle 17341" o:spid="_x0000_s2056" style="width:421;height:1899;left:67937;mso-wrap-style:square;position:absolute;top:4856;visibility:visible;v-text-anchor:top" filled="f" stroked="f">
                <v:textbox inset="0,0,0,0">
                  <w:txbxContent>
                    <w:p w:rsidR="00612473" w:rsidP="00DE62A0" w14:paraId="633B5042" w14:textId="77777777">
                      <w:r>
                        <w:rPr>
                          <w:rFonts w:eastAsia="Calibri"/>
                        </w:rPr>
                        <w:t xml:space="preserve"> </w:t>
                      </w:r>
                    </w:p>
                  </w:txbxContent>
                </v:textbox>
              </v:rect>
              <v:shape id="Shape 17936" o:spid="_x0000_s2057" style="width:66843;height:91;left:1277;mso-wrap-style:square;position:absolute;top:6365;visibility:visible;v-text-anchor:top" coordsize="6684264,9144" path="m,l6684264,l6684264,9144l,9144,,e" fillcolor="#d9d9d9" stroked="f">
                <v:stroke joinstyle="miter"/>
                <v:path arrowok="t" textboxrect="0,0,668426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34" o:spid="_x0000_s2058" type="#_x0000_t75" style="width:24650;height:3105;mso-wrap-style:square;position:absolute;visibility:visible">
                <v:imagedata r:id="rId1" o:title=""/>
              </v:shape>
              <w10:wrap type="square"/>
            </v:group>
          </w:pict>
        </mc:Fallback>
      </mc:AlternateContent>
    </w:r>
    <w:r>
      <w:rPr>
        <w:rFonts w:eastAsia="Calibri"/>
        <w:b/>
        <w:sz w:val="20"/>
      </w:rPr>
      <w:t xml:space="preserve"> </w:t>
    </w:r>
  </w:p>
  <w:p w:rsidR="00D97FFB" w14:paraId="7DB5B1F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FFB" w:rsidP="00A53C11" w14:paraId="1ECC2B1C" w14:textId="374DE186">
    <w:pPr>
      <w:pBdr>
        <w:bottom w:val="single" w:sz="4" w:space="1" w:color="auto"/>
      </w:pBdr>
      <w:tabs>
        <w:tab w:val="right" w:pos="9923"/>
      </w:tabs>
      <w:spacing w:after="120" w:line="247" w:lineRule="auto"/>
      <w:ind w:left="-6" w:right="476" w:hanging="11"/>
    </w:pPr>
    <w:r>
      <w:rPr>
        <w:noProof/>
      </w:rPr>
      <w:drawing>
        <wp:inline distT="0" distB="0" distL="0" distR="0">
          <wp:extent cx="1014327" cy="476192"/>
          <wp:effectExtent l="0" t="0" r="0" b="635"/>
          <wp:docPr id="1922018043" name="Bilde 192201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018043"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1634" cy="493706"/>
                  </a:xfrm>
                  <a:prstGeom prst="rect">
                    <a:avLst/>
                  </a:prstGeom>
                  <a:noFill/>
                  <a:ln>
                    <a:noFill/>
                  </a:ln>
                </pic:spPr>
              </pic:pic>
            </a:graphicData>
          </a:graphic>
        </wp:inline>
      </w:drawing>
    </w:r>
    <w:r>
      <w:rPr>
        <w:rFonts w:eastAsia="Calibri"/>
        <w:noProof/>
      </w:rPr>
      <w:t xml:space="preserve"> </w:t>
    </w:r>
    <w:r w:rsidRPr="5649F6A0" w:rsidR="00555765">
      <w:rPr>
        <w:rFonts w:eastAsia="Calibri"/>
        <w:b/>
        <w:sz w:val="20"/>
        <w:szCs w:val="20"/>
      </w:rPr>
      <w:t xml:space="preserve"> </w:t>
    </w:r>
    <w:r w:rsidR="00F43B20">
      <w:rPr>
        <w:rFonts w:eastAsia="Calibri"/>
        <w:b/>
        <w:sz w:val="20"/>
        <w:szCs w:val="20"/>
      </w:rPr>
      <w:tab/>
      <w:t>Vilkår for nettinvesteringer som utløser anleggsbidrag i Tensio 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6083" w:rsidRPr="00256083" w:rsidP="00256083" w14:paraId="084B8AA4" w14:textId="4898C04A">
    <w:pPr>
      <w:pBdr>
        <w:bottom w:val="single" w:sz="4" w:space="1" w:color="auto"/>
      </w:pBdr>
      <w:tabs>
        <w:tab w:val="right" w:pos="9923"/>
      </w:tabs>
      <w:spacing w:after="120" w:line="247" w:lineRule="auto"/>
      <w:ind w:left="-6" w:right="476" w:hanging="11"/>
      <w:rPr>
        <w:rFonts w:ascii="Calibri" w:hAnsi="Calibri"/>
        <w:color w:val="4C86A0"/>
        <w:sz w:val="16"/>
        <w:szCs w:val="12"/>
      </w:rPr>
    </w:pPr>
    <w:r>
      <w:rPr>
        <w:rFonts w:eastAsia="Calibri"/>
        <w:b/>
        <w:sz w:val="20"/>
      </w:rPr>
      <w:t xml:space="preserve"> </w:t>
    </w:r>
    <w:r>
      <w:rPr>
        <w:noProof/>
      </w:rPr>
      <w:drawing>
        <wp:inline distT="0" distB="0" distL="0" distR="0">
          <wp:extent cx="1014327" cy="476192"/>
          <wp:effectExtent l="0" t="0" r="0" b="635"/>
          <wp:docPr id="1714554627" name="Bilde 1714554627"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54627" name="Bilde 1714554627" descr="Et bilde som inneholder tekst, Font, logo, Grafikk&#10;&#10;Automatisk generert beskrivels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1634" cy="493706"/>
                  </a:xfrm>
                  <a:prstGeom prst="rect">
                    <a:avLst/>
                  </a:prstGeom>
                  <a:noFill/>
                  <a:ln>
                    <a:noFill/>
                  </a:ln>
                </pic:spPr>
              </pic:pic>
            </a:graphicData>
          </a:graphic>
        </wp:inline>
      </w:drawing>
    </w:r>
    <w:r>
      <w:rPr>
        <w:rFonts w:eastAsia="Calibri"/>
        <w:noProof/>
      </w:rPr>
      <w:t xml:space="preserve"> </w:t>
    </w:r>
    <w:r w:rsidRPr="5649F6A0">
      <w:rPr>
        <w:rFonts w:eastAsia="Calibri"/>
        <w:b/>
        <w:sz w:val="20"/>
        <w:szCs w:val="20"/>
      </w:rPr>
      <w:t xml:space="preserve"> </w:t>
    </w:r>
    <w:r w:rsidR="00E54FCB">
      <w:rPr>
        <w:rFonts w:eastAsia="Calibri"/>
        <w:b/>
        <w:sz w:val="20"/>
        <w:szCs w:val="20"/>
      </w:rPr>
      <w:tab/>
    </w:r>
    <w:r w:rsidRPr="00520005">
      <w:rPr>
        <w:rFonts w:ascii="Calibri" w:hAnsi="Calibri"/>
        <w:color w:val="000000" w:themeColor="text1"/>
        <w:sz w:val="16"/>
        <w:szCs w:val="12"/>
      </w:rPr>
      <w:t>RefNr :</w:t>
    </w:r>
    <w:r w:rsidRPr="00520005">
      <w:rPr>
        <w:color w:val="000000" w:themeColor="text1"/>
        <w:sz w:val="16"/>
        <w:szCs w:val="16"/>
      </w:rPr>
      <w:t xml:space="preserve"> </w:t>
    </w:r>
    <w:r w:rsidRPr="00520005">
      <w:rPr>
        <w:rFonts w:ascii="Calibri" w:hAnsi="Calibri"/>
        <w:color w:val="4C86A0"/>
        <w:sz w:val="16"/>
        <w:szCs w:val="12"/>
      </w:rPr>
      <w:t xml:space="preserve"> </w:t>
    </w:r>
    <w:r w:rsidRPr="00520005">
      <w:rPr>
        <w:rFonts w:ascii="Calibri" w:hAnsi="Calibri"/>
        <w:color w:val="4C86A0"/>
        <w:sz w:val="16"/>
        <w:szCs w:val="12"/>
      </w:rPr>
      <w:fldChar w:fldCharType="begin" w:fldLock="1"/>
    </w:r>
    <w:r w:rsidRPr="00520005">
      <w:rPr>
        <w:rFonts w:ascii="Calibri" w:hAnsi="Calibri"/>
        <w:color w:val="4C86A0"/>
        <w:sz w:val="16"/>
        <w:szCs w:val="12"/>
      </w:rPr>
      <w:instrText xml:space="preserve"> DOCPROPERTY EK_RefNr </w:instrText>
    </w:r>
    <w:r w:rsidRPr="00520005">
      <w:rPr>
        <w:rFonts w:ascii="Calibri" w:hAnsi="Calibri"/>
        <w:color w:val="4C86A0"/>
        <w:sz w:val="16"/>
        <w:szCs w:val="12"/>
      </w:rPr>
      <w:fldChar w:fldCharType="separate"/>
    </w:r>
    <w:r w:rsidRPr="00520005">
      <w:rPr>
        <w:rFonts w:ascii="Calibri" w:hAnsi="Calibri"/>
        <w:color w:val="4C86A0"/>
        <w:sz w:val="16"/>
        <w:szCs w:val="12"/>
      </w:rPr>
      <w:t>TSKK11-02</w:t>
    </w:r>
    <w:r w:rsidRPr="00520005">
      <w:rPr>
        <w:rFonts w:ascii="Calibri" w:hAnsi="Calibri"/>
        <w:color w:val="4C86A0"/>
        <w:sz w:val="16"/>
        <w:szCs w:val="12"/>
      </w:rPr>
      <w:fldChar w:fldCharType="end"/>
    </w:r>
    <w:r>
      <w:rPr>
        <w:rFonts w:ascii="Calibri" w:hAnsi="Calibri"/>
        <w:color w:val="4C86A0"/>
        <w:sz w:val="16"/>
        <w:szCs w:val="12"/>
      </w:rPr>
      <w:t xml:space="preserve">  </w:t>
    </w:r>
    <w:r>
      <w:rPr>
        <w:rFonts w:ascii="Calibri" w:hAnsi="Calibri"/>
        <w:color w:val="000000" w:themeColor="text1"/>
        <w:sz w:val="16"/>
        <w:szCs w:val="12"/>
      </w:rPr>
      <w:t>Versjon</w:t>
    </w:r>
    <w:r w:rsidRPr="00520005">
      <w:rPr>
        <w:rFonts w:ascii="Calibri" w:hAnsi="Calibri"/>
        <w:color w:val="000000" w:themeColor="text1"/>
        <w:sz w:val="16"/>
        <w:szCs w:val="12"/>
      </w:rPr>
      <w:t xml:space="preserve"> :</w:t>
    </w:r>
    <w:r w:rsidRPr="00520005">
      <w:rPr>
        <w:color w:val="000000" w:themeColor="text1"/>
        <w:sz w:val="16"/>
        <w:szCs w:val="16"/>
      </w:rPr>
      <w:t xml:space="preserve"> </w:t>
    </w:r>
    <w:r w:rsidRPr="00520005">
      <w:rPr>
        <w:rFonts w:ascii="Calibri" w:hAnsi="Calibri"/>
        <w:color w:val="4C86A0"/>
        <w:sz w:val="16"/>
        <w:szCs w:val="12"/>
      </w:rPr>
      <w:t xml:space="preserve"> </w:t>
    </w:r>
    <w:r w:rsidRPr="00520005">
      <w:rPr>
        <w:rFonts w:ascii="Calibri" w:hAnsi="Calibri"/>
        <w:color w:val="4C86A0"/>
        <w:sz w:val="16"/>
        <w:szCs w:val="12"/>
      </w:rPr>
      <w:fldChar w:fldCharType="begin" w:fldLock="1"/>
    </w:r>
    <w:r w:rsidRPr="00520005">
      <w:rPr>
        <w:rFonts w:ascii="Calibri" w:hAnsi="Calibri"/>
        <w:color w:val="4C86A0"/>
        <w:sz w:val="16"/>
        <w:szCs w:val="12"/>
      </w:rPr>
      <w:instrText xml:space="preserve">DOCPROPERTY </w:instrText>
    </w:r>
    <w:r w:rsidRPr="00520005">
      <w:rPr>
        <w:rFonts w:ascii="Calibri" w:hAnsi="Calibri"/>
        <w:color w:val="4C86A0"/>
        <w:sz w:val="16"/>
        <w:szCs w:val="12"/>
      </w:rPr>
      <w:instrText>EK_Utgave</w:instrText>
    </w:r>
    <w:r w:rsidRPr="00520005">
      <w:rPr>
        <w:rFonts w:ascii="Calibri" w:hAnsi="Calibri"/>
        <w:color w:val="4C86A0"/>
        <w:sz w:val="16"/>
        <w:szCs w:val="12"/>
      </w:rPr>
      <w:fldChar w:fldCharType="separate"/>
    </w:r>
    <w:r w:rsidRPr="00520005">
      <w:rPr>
        <w:rFonts w:ascii="Calibri" w:hAnsi="Calibri"/>
        <w:color w:val="4C86A0"/>
        <w:sz w:val="16"/>
        <w:szCs w:val="12"/>
      </w:rPr>
      <w:t>0.03</w:t>
    </w:r>
    <w:r w:rsidRPr="00520005">
      <w:rPr>
        <w:rFonts w:ascii="Calibri" w:hAnsi="Calibri"/>
        <w:color w:val="4C86A0"/>
        <w:sz w:val="16"/>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353BA"/>
    <w:multiLevelType w:val="hybridMultilevel"/>
    <w:tmpl w:val="A05C88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C2327"/>
    <w:multiLevelType w:val="hybridMultilevel"/>
    <w:tmpl w:val="A8D4442A"/>
    <w:lvl w:ilvl="0">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27F7ADB"/>
    <w:multiLevelType w:val="hybridMultilevel"/>
    <w:tmpl w:val="EA320136"/>
    <w:lvl w:ilvl="0">
      <w:start w:val="1"/>
      <w:numFmt w:val="bullet"/>
      <w:lvlText w:val=""/>
      <w:lvlJc w:val="left"/>
      <w:pPr>
        <w:ind w:left="705" w:hanging="360"/>
      </w:pPr>
      <w:rPr>
        <w:rFonts w:ascii="Symbol" w:hAnsi="Symbol" w:hint="default"/>
      </w:rPr>
    </w:lvl>
    <w:lvl w:ilvl="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3">
    <w:nsid w:val="04CD5F63"/>
    <w:multiLevelType w:val="hybridMultilevel"/>
    <w:tmpl w:val="D538490A"/>
    <w:lvl w:ilvl="0">
      <w:start w:val="1"/>
      <w:numFmt w:val="bullet"/>
      <w:lvlText w:val=""/>
      <w:lvlJc w:val="left"/>
      <w:pPr>
        <w:ind w:left="705"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4">
    <w:nsid w:val="05FF31F8"/>
    <w:multiLevelType w:val="hybridMultilevel"/>
    <w:tmpl w:val="6DDAC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D35236"/>
    <w:multiLevelType w:val="hybridMultilevel"/>
    <w:tmpl w:val="39525F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5A1E41"/>
    <w:multiLevelType w:val="multilevel"/>
    <w:tmpl w:val="E8325DD6"/>
    <w:lvl w:ilvl="0">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2"/>
        <w:szCs w:val="22"/>
        <w:u w:val="none" w:color="000000"/>
        <w:bdr w:val="none" w:sz="0" w:space="0" w:color="auto"/>
        <w:shd w:val="clear" w:color="auto" w:fill="auto"/>
        <w:vertAlign w:val="baseline"/>
      </w:rPr>
    </w:lvl>
  </w:abstractNum>
  <w:abstractNum w:abstractNumId="7">
    <w:nsid w:val="1028758D"/>
    <w:multiLevelType w:val="hybridMultilevel"/>
    <w:tmpl w:val="02083F0A"/>
    <w:lvl w:ilvl="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nsid w:val="12CA7EEF"/>
    <w:multiLevelType w:val="hybridMultilevel"/>
    <w:tmpl w:val="F5C29A80"/>
    <w:lvl w:ilvl="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7386434"/>
    <w:multiLevelType w:val="hybridMultilevel"/>
    <w:tmpl w:val="F0C8CE4A"/>
    <w:lvl w:ilvl="0">
      <w:start w:val="1"/>
      <w:numFmt w:val="decimal"/>
      <w:lvlText w:val="%1)"/>
      <w:lvlJc w:val="left"/>
      <w:pPr>
        <w:ind w:left="705" w:hanging="360"/>
      </w:pPr>
    </w:lvl>
    <w:lvl w:ilvl="1" w:tentative="1">
      <w:start w:val="1"/>
      <w:numFmt w:val="lowerLetter"/>
      <w:lvlText w:val="%2."/>
      <w:lvlJc w:val="left"/>
      <w:pPr>
        <w:ind w:left="1425" w:hanging="360"/>
      </w:pPr>
    </w:lvl>
    <w:lvl w:ilvl="2" w:tentative="1">
      <w:start w:val="1"/>
      <w:numFmt w:val="lowerRoman"/>
      <w:lvlText w:val="%3."/>
      <w:lvlJc w:val="right"/>
      <w:pPr>
        <w:ind w:left="2145" w:hanging="180"/>
      </w:pPr>
    </w:lvl>
    <w:lvl w:ilvl="3" w:tentative="1">
      <w:start w:val="1"/>
      <w:numFmt w:val="decimal"/>
      <w:lvlText w:val="%4."/>
      <w:lvlJc w:val="left"/>
      <w:pPr>
        <w:ind w:left="2865" w:hanging="360"/>
      </w:pPr>
    </w:lvl>
    <w:lvl w:ilvl="4" w:tentative="1">
      <w:start w:val="1"/>
      <w:numFmt w:val="lowerLetter"/>
      <w:lvlText w:val="%5."/>
      <w:lvlJc w:val="left"/>
      <w:pPr>
        <w:ind w:left="3585" w:hanging="360"/>
      </w:pPr>
    </w:lvl>
    <w:lvl w:ilvl="5" w:tentative="1">
      <w:start w:val="1"/>
      <w:numFmt w:val="lowerRoman"/>
      <w:lvlText w:val="%6."/>
      <w:lvlJc w:val="right"/>
      <w:pPr>
        <w:ind w:left="4305" w:hanging="180"/>
      </w:pPr>
    </w:lvl>
    <w:lvl w:ilvl="6" w:tentative="1">
      <w:start w:val="1"/>
      <w:numFmt w:val="decimal"/>
      <w:lvlText w:val="%7."/>
      <w:lvlJc w:val="left"/>
      <w:pPr>
        <w:ind w:left="5025" w:hanging="360"/>
      </w:pPr>
    </w:lvl>
    <w:lvl w:ilvl="7" w:tentative="1">
      <w:start w:val="1"/>
      <w:numFmt w:val="lowerLetter"/>
      <w:lvlText w:val="%8."/>
      <w:lvlJc w:val="left"/>
      <w:pPr>
        <w:ind w:left="5745" w:hanging="360"/>
      </w:pPr>
    </w:lvl>
    <w:lvl w:ilvl="8" w:tentative="1">
      <w:start w:val="1"/>
      <w:numFmt w:val="lowerRoman"/>
      <w:lvlText w:val="%9."/>
      <w:lvlJc w:val="right"/>
      <w:pPr>
        <w:ind w:left="6465" w:hanging="180"/>
      </w:pPr>
    </w:lvl>
  </w:abstractNum>
  <w:abstractNum w:abstractNumId="10">
    <w:nsid w:val="185C3B08"/>
    <w:multiLevelType w:val="hybridMultilevel"/>
    <w:tmpl w:val="B6627058"/>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11">
    <w:nsid w:val="1FA53CE5"/>
    <w:multiLevelType w:val="hybridMultilevel"/>
    <w:tmpl w:val="C7442184"/>
    <w:lvl w:ilvl="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nsid w:val="201A4C21"/>
    <w:multiLevelType w:val="multilevel"/>
    <w:tmpl w:val="1E108BC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636" w:hanging="360"/>
      </w:pPr>
      <w:rPr>
        <w:rFonts w:ascii="Times New Roman" w:eastAsia="Times New Roman" w:hAnsi="Times New Roman" w:cs="Times New Roman"/>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DD7218"/>
    <w:multiLevelType w:val="hybridMultilevel"/>
    <w:tmpl w:val="E73213B4"/>
    <w:lvl w:ilvl="0">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4">
    <w:nsid w:val="281021B5"/>
    <w:multiLevelType w:val="hybridMultilevel"/>
    <w:tmpl w:val="63F083A0"/>
    <w:lvl w:ilvl="0">
      <w:start w:val="1"/>
      <w:numFmt w:val="lowerLetter"/>
      <w:lvlText w:val="%1."/>
      <w:lvlJc w:val="left"/>
      <w:pPr>
        <w:ind w:left="345" w:hanging="360"/>
      </w:pPr>
      <w:rPr>
        <w:rFonts w:hint="default"/>
      </w:rPr>
    </w:lvl>
    <w:lvl w:ilvl="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15">
    <w:nsid w:val="28921F66"/>
    <w:multiLevelType w:val="hybridMultilevel"/>
    <w:tmpl w:val="DDC2EFD4"/>
    <w:lvl w:ilvl="0">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B1E5417"/>
    <w:multiLevelType w:val="hybridMultilevel"/>
    <w:tmpl w:val="953EFE48"/>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AE3595"/>
    <w:multiLevelType w:val="hybridMultilevel"/>
    <w:tmpl w:val="C7CC8D7C"/>
    <w:lvl w:ilvl="0">
      <w:start w:val="1"/>
      <w:numFmt w:val="bullet"/>
      <w:lvlText w:val="•"/>
      <w:lvlJc w:val="left"/>
      <w:pPr>
        <w:ind w:left="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394E3430"/>
    <w:multiLevelType w:val="hybridMultilevel"/>
    <w:tmpl w:val="F49454B6"/>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19">
    <w:nsid w:val="39787C4B"/>
    <w:multiLevelType w:val="hybridMultilevel"/>
    <w:tmpl w:val="30C20EC0"/>
    <w:lvl w:ilvl="0">
      <w:start w:val="1"/>
      <w:numFmt w:val="bullet"/>
      <w:lvlText w:val="o"/>
      <w:lvlJc w:val="left"/>
      <w:pPr>
        <w:ind w:left="1068" w:hanging="360"/>
      </w:pPr>
      <w:rPr>
        <w:rFonts w:ascii="Courier New" w:hAnsi="Courier New" w:cs="Courier New" w:hint="default"/>
      </w:rPr>
    </w:lvl>
    <w:lvl w:ilvl="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0">
    <w:nsid w:val="3EED49F8"/>
    <w:multiLevelType w:val="multilevel"/>
    <w:tmpl w:val="522CDF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43211A74"/>
    <w:multiLevelType w:val="hybridMultilevel"/>
    <w:tmpl w:val="32BE23F2"/>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22">
    <w:nsid w:val="43C06BFD"/>
    <w:multiLevelType w:val="hybridMultilevel"/>
    <w:tmpl w:val="3C60C0B4"/>
    <w:lvl w:ilvl="0">
      <w:start w:val="1"/>
      <w:numFmt w:val="bullet"/>
      <w:lvlText w:val=""/>
      <w:lvlJc w:val="left"/>
      <w:pPr>
        <w:ind w:left="730" w:hanging="360"/>
      </w:pPr>
      <w:rPr>
        <w:rFonts w:ascii="Symbol" w:hAnsi="Symbol" w:hint="default"/>
      </w:rPr>
    </w:lvl>
    <w:lvl w:ilvl="1" w:tentative="1">
      <w:start w:val="1"/>
      <w:numFmt w:val="bullet"/>
      <w:lvlText w:val="o"/>
      <w:lvlJc w:val="left"/>
      <w:pPr>
        <w:ind w:left="1450" w:hanging="360"/>
      </w:pPr>
      <w:rPr>
        <w:rFonts w:ascii="Courier New" w:hAnsi="Courier New" w:cs="Courier New" w:hint="default"/>
      </w:rPr>
    </w:lvl>
    <w:lvl w:ilvl="2" w:tentative="1">
      <w:start w:val="1"/>
      <w:numFmt w:val="bullet"/>
      <w:lvlText w:val=""/>
      <w:lvlJc w:val="left"/>
      <w:pPr>
        <w:ind w:left="2170" w:hanging="360"/>
      </w:pPr>
      <w:rPr>
        <w:rFonts w:ascii="Wingdings" w:hAnsi="Wingdings" w:hint="default"/>
      </w:rPr>
    </w:lvl>
    <w:lvl w:ilvl="3" w:tentative="1">
      <w:start w:val="1"/>
      <w:numFmt w:val="bullet"/>
      <w:lvlText w:val=""/>
      <w:lvlJc w:val="left"/>
      <w:pPr>
        <w:ind w:left="2890" w:hanging="360"/>
      </w:pPr>
      <w:rPr>
        <w:rFonts w:ascii="Symbol" w:hAnsi="Symbol" w:hint="default"/>
      </w:rPr>
    </w:lvl>
    <w:lvl w:ilvl="4" w:tentative="1">
      <w:start w:val="1"/>
      <w:numFmt w:val="bullet"/>
      <w:lvlText w:val="o"/>
      <w:lvlJc w:val="left"/>
      <w:pPr>
        <w:ind w:left="3610" w:hanging="360"/>
      </w:pPr>
      <w:rPr>
        <w:rFonts w:ascii="Courier New" w:hAnsi="Courier New" w:cs="Courier New" w:hint="default"/>
      </w:rPr>
    </w:lvl>
    <w:lvl w:ilvl="5" w:tentative="1">
      <w:start w:val="1"/>
      <w:numFmt w:val="bullet"/>
      <w:lvlText w:val=""/>
      <w:lvlJc w:val="left"/>
      <w:pPr>
        <w:ind w:left="4330" w:hanging="360"/>
      </w:pPr>
      <w:rPr>
        <w:rFonts w:ascii="Wingdings" w:hAnsi="Wingdings" w:hint="default"/>
      </w:rPr>
    </w:lvl>
    <w:lvl w:ilvl="6" w:tentative="1">
      <w:start w:val="1"/>
      <w:numFmt w:val="bullet"/>
      <w:lvlText w:val=""/>
      <w:lvlJc w:val="left"/>
      <w:pPr>
        <w:ind w:left="5050" w:hanging="360"/>
      </w:pPr>
      <w:rPr>
        <w:rFonts w:ascii="Symbol" w:hAnsi="Symbol" w:hint="default"/>
      </w:rPr>
    </w:lvl>
    <w:lvl w:ilvl="7" w:tentative="1">
      <w:start w:val="1"/>
      <w:numFmt w:val="bullet"/>
      <w:lvlText w:val="o"/>
      <w:lvlJc w:val="left"/>
      <w:pPr>
        <w:ind w:left="5770" w:hanging="360"/>
      </w:pPr>
      <w:rPr>
        <w:rFonts w:ascii="Courier New" w:hAnsi="Courier New" w:cs="Courier New" w:hint="default"/>
      </w:rPr>
    </w:lvl>
    <w:lvl w:ilvl="8" w:tentative="1">
      <w:start w:val="1"/>
      <w:numFmt w:val="bullet"/>
      <w:lvlText w:val=""/>
      <w:lvlJc w:val="left"/>
      <w:pPr>
        <w:ind w:left="6490" w:hanging="360"/>
      </w:pPr>
      <w:rPr>
        <w:rFonts w:ascii="Wingdings" w:hAnsi="Wingdings" w:hint="default"/>
      </w:rPr>
    </w:lvl>
  </w:abstractNum>
  <w:abstractNum w:abstractNumId="23">
    <w:nsid w:val="4B523F06"/>
    <w:multiLevelType w:val="hybridMultilevel"/>
    <w:tmpl w:val="DA2C8268"/>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24">
    <w:nsid w:val="4C8A1594"/>
    <w:multiLevelType w:val="hybridMultilevel"/>
    <w:tmpl w:val="0E8205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D71A60"/>
    <w:multiLevelType w:val="hybridMultilevel"/>
    <w:tmpl w:val="302A0F96"/>
    <w:lvl w:ilvl="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6">
    <w:nsid w:val="4D08637C"/>
    <w:multiLevelType w:val="hybridMultilevel"/>
    <w:tmpl w:val="A05EA19A"/>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27">
    <w:nsid w:val="4D627830"/>
    <w:multiLevelType w:val="hybridMultilevel"/>
    <w:tmpl w:val="ED58F1B0"/>
    <w:lvl w:ilvl="0">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78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54976DDA"/>
    <w:multiLevelType w:val="hybridMultilevel"/>
    <w:tmpl w:val="0644DEEE"/>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29">
    <w:nsid w:val="59073D90"/>
    <w:multiLevelType w:val="hybridMultilevel"/>
    <w:tmpl w:val="E7DCA85C"/>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30">
    <w:nsid w:val="5973511F"/>
    <w:multiLevelType w:val="hybridMultilevel"/>
    <w:tmpl w:val="93D24ED8"/>
    <w:lvl w:ilvl="0">
      <w:start w:val="1"/>
      <w:numFmt w:val="lowerLetter"/>
      <w:lvlText w:val="%1)"/>
      <w:lvlJc w:val="left"/>
      <w:pPr>
        <w:ind w:left="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5CA035BD"/>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03779DF"/>
    <w:multiLevelType w:val="hybridMultilevel"/>
    <w:tmpl w:val="7F4621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2244C53"/>
    <w:multiLevelType w:val="hybridMultilevel"/>
    <w:tmpl w:val="BCE400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56D602F"/>
    <w:multiLevelType w:val="hybridMultilevel"/>
    <w:tmpl w:val="35A211BC"/>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35">
    <w:nsid w:val="696E7814"/>
    <w:multiLevelType w:val="hybridMultilevel"/>
    <w:tmpl w:val="D12E8E82"/>
    <w:lvl w:ilvl="0">
      <w:start w:val="1"/>
      <w:numFmt w:val="bullet"/>
      <w:lvlText w:val="o"/>
      <w:lvlJc w:val="left"/>
      <w:pPr>
        <w:ind w:left="1426"/>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727"/>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o"/>
      <w:lvlJc w:val="left"/>
      <w:pPr>
        <w:ind w:left="2102"/>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705B1430"/>
    <w:multiLevelType w:val="hybridMultilevel"/>
    <w:tmpl w:val="357416D2"/>
    <w:lvl w:ilvl="0">
      <w:start w:val="1"/>
      <w:numFmt w:val="bullet"/>
      <w:lvlText w:val="-"/>
      <w:lvlJc w:val="left"/>
      <w:pPr>
        <w:ind w:left="705"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37">
    <w:nsid w:val="76B26AAC"/>
    <w:multiLevelType w:val="hybridMultilevel"/>
    <w:tmpl w:val="75A48F66"/>
    <w:lvl w:ilvl="0">
      <w:start w:val="1"/>
      <w:numFmt w:val="bullet"/>
      <w:lvlText w:val="-"/>
      <w:lvlJc w:val="left"/>
      <w:pPr>
        <w:ind w:left="705"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38">
    <w:nsid w:val="7760623E"/>
    <w:multiLevelType w:val="hybridMultilevel"/>
    <w:tmpl w:val="7FE2798A"/>
    <w:lvl w:ilvl="0">
      <w:start w:val="1"/>
      <w:numFmt w:val="lowerLetter"/>
      <w:lvlText w:val="%1."/>
      <w:lvlJc w:val="left"/>
      <w:pPr>
        <w:ind w:left="705" w:hanging="360"/>
      </w:pPr>
    </w:lvl>
    <w:lvl w:ilvl="1" w:tentative="1">
      <w:start w:val="1"/>
      <w:numFmt w:val="lowerLetter"/>
      <w:lvlText w:val="%2."/>
      <w:lvlJc w:val="left"/>
      <w:pPr>
        <w:ind w:left="1425" w:hanging="360"/>
      </w:pPr>
    </w:lvl>
    <w:lvl w:ilvl="2" w:tentative="1">
      <w:start w:val="1"/>
      <w:numFmt w:val="lowerRoman"/>
      <w:lvlText w:val="%3."/>
      <w:lvlJc w:val="right"/>
      <w:pPr>
        <w:ind w:left="2145" w:hanging="180"/>
      </w:pPr>
    </w:lvl>
    <w:lvl w:ilvl="3" w:tentative="1">
      <w:start w:val="1"/>
      <w:numFmt w:val="decimal"/>
      <w:lvlText w:val="%4."/>
      <w:lvlJc w:val="left"/>
      <w:pPr>
        <w:ind w:left="2865" w:hanging="360"/>
      </w:pPr>
    </w:lvl>
    <w:lvl w:ilvl="4" w:tentative="1">
      <w:start w:val="1"/>
      <w:numFmt w:val="lowerLetter"/>
      <w:lvlText w:val="%5."/>
      <w:lvlJc w:val="left"/>
      <w:pPr>
        <w:ind w:left="3585" w:hanging="360"/>
      </w:pPr>
    </w:lvl>
    <w:lvl w:ilvl="5" w:tentative="1">
      <w:start w:val="1"/>
      <w:numFmt w:val="lowerRoman"/>
      <w:lvlText w:val="%6."/>
      <w:lvlJc w:val="right"/>
      <w:pPr>
        <w:ind w:left="4305" w:hanging="180"/>
      </w:pPr>
    </w:lvl>
    <w:lvl w:ilvl="6" w:tentative="1">
      <w:start w:val="1"/>
      <w:numFmt w:val="decimal"/>
      <w:lvlText w:val="%7."/>
      <w:lvlJc w:val="left"/>
      <w:pPr>
        <w:ind w:left="5025" w:hanging="360"/>
      </w:pPr>
    </w:lvl>
    <w:lvl w:ilvl="7" w:tentative="1">
      <w:start w:val="1"/>
      <w:numFmt w:val="lowerLetter"/>
      <w:lvlText w:val="%8."/>
      <w:lvlJc w:val="left"/>
      <w:pPr>
        <w:ind w:left="5745" w:hanging="360"/>
      </w:pPr>
    </w:lvl>
    <w:lvl w:ilvl="8" w:tentative="1">
      <w:start w:val="1"/>
      <w:numFmt w:val="lowerRoman"/>
      <w:lvlText w:val="%9."/>
      <w:lvlJc w:val="right"/>
      <w:pPr>
        <w:ind w:left="6465" w:hanging="180"/>
      </w:pPr>
    </w:lvl>
  </w:abstractNum>
  <w:abstractNum w:abstractNumId="39">
    <w:nsid w:val="785B12C6"/>
    <w:multiLevelType w:val="hybridMultilevel"/>
    <w:tmpl w:val="B7D4EC30"/>
    <w:lvl w:ilvl="0">
      <w:start w:val="1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7B4B2E77"/>
    <w:multiLevelType w:val="hybridMultilevel"/>
    <w:tmpl w:val="5CBE57F8"/>
    <w:lvl w:ilvl="0">
      <w:start w:val="1"/>
      <w:numFmt w:val="bullet"/>
      <w:lvlText w:val="-"/>
      <w:lvlJc w:val="left"/>
      <w:pPr>
        <w:ind w:left="183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2132"/>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o"/>
      <w:lvlJc w:val="left"/>
      <w:pPr>
        <w:ind w:left="2507"/>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7CBA347F"/>
    <w:multiLevelType w:val="hybridMultilevel"/>
    <w:tmpl w:val="65BA2B1A"/>
    <w:lvl w:ilvl="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58410054">
    <w:abstractNumId w:val="8"/>
  </w:num>
  <w:num w:numId="2" w16cid:durableId="820583055">
    <w:abstractNumId w:val="1"/>
  </w:num>
  <w:num w:numId="3" w16cid:durableId="1949004062">
    <w:abstractNumId w:val="11"/>
  </w:num>
  <w:num w:numId="4" w16cid:durableId="162013862">
    <w:abstractNumId w:val="6"/>
  </w:num>
  <w:num w:numId="5" w16cid:durableId="568882310">
    <w:abstractNumId w:val="30"/>
  </w:num>
  <w:num w:numId="6" w16cid:durableId="1550532797">
    <w:abstractNumId w:val="27"/>
  </w:num>
  <w:num w:numId="7" w16cid:durableId="668295943">
    <w:abstractNumId w:val="25"/>
  </w:num>
  <w:num w:numId="8" w16cid:durableId="1448741660">
    <w:abstractNumId w:val="17"/>
  </w:num>
  <w:num w:numId="9" w16cid:durableId="2078046827">
    <w:abstractNumId w:val="41"/>
  </w:num>
  <w:num w:numId="10" w16cid:durableId="461701862">
    <w:abstractNumId w:val="39"/>
  </w:num>
  <w:num w:numId="11" w16cid:durableId="1875455923">
    <w:abstractNumId w:val="40"/>
  </w:num>
  <w:num w:numId="12" w16cid:durableId="2103869377">
    <w:abstractNumId w:val="35"/>
  </w:num>
  <w:num w:numId="13" w16cid:durableId="1313757843">
    <w:abstractNumId w:val="19"/>
  </w:num>
  <w:num w:numId="14" w16cid:durableId="100616065">
    <w:abstractNumId w:val="16"/>
  </w:num>
  <w:num w:numId="15" w16cid:durableId="835413686">
    <w:abstractNumId w:val="24"/>
  </w:num>
  <w:num w:numId="16" w16cid:durableId="1338801256">
    <w:abstractNumId w:val="0"/>
  </w:num>
  <w:num w:numId="17" w16cid:durableId="2037383867">
    <w:abstractNumId w:val="31"/>
  </w:num>
  <w:num w:numId="18" w16cid:durableId="352801231">
    <w:abstractNumId w:val="12"/>
  </w:num>
  <w:num w:numId="19" w16cid:durableId="164825563">
    <w:abstractNumId w:val="4"/>
  </w:num>
  <w:num w:numId="20" w16cid:durableId="1104230875">
    <w:abstractNumId w:val="15"/>
  </w:num>
  <w:num w:numId="21" w16cid:durableId="350957209">
    <w:abstractNumId w:val="13"/>
  </w:num>
  <w:num w:numId="22" w16cid:durableId="1901013469">
    <w:abstractNumId w:val="7"/>
  </w:num>
  <w:num w:numId="23" w16cid:durableId="233512457">
    <w:abstractNumId w:val="36"/>
  </w:num>
  <w:num w:numId="24" w16cid:durableId="2039046570">
    <w:abstractNumId w:val="5"/>
  </w:num>
  <w:num w:numId="25" w16cid:durableId="1245339184">
    <w:abstractNumId w:val="29"/>
  </w:num>
  <w:num w:numId="26" w16cid:durableId="483818984">
    <w:abstractNumId w:val="20"/>
  </w:num>
  <w:num w:numId="27" w16cid:durableId="575821413">
    <w:abstractNumId w:val="21"/>
  </w:num>
  <w:num w:numId="28" w16cid:durableId="1948389031">
    <w:abstractNumId w:val="28"/>
  </w:num>
  <w:num w:numId="29" w16cid:durableId="2011519939">
    <w:abstractNumId w:val="14"/>
  </w:num>
  <w:num w:numId="30" w16cid:durableId="1547108818">
    <w:abstractNumId w:val="2"/>
  </w:num>
  <w:num w:numId="31" w16cid:durableId="1302345741">
    <w:abstractNumId w:val="34"/>
  </w:num>
  <w:num w:numId="32" w16cid:durableId="899940630">
    <w:abstractNumId w:val="26"/>
  </w:num>
  <w:num w:numId="33" w16cid:durableId="1034383514">
    <w:abstractNumId w:val="23"/>
  </w:num>
  <w:num w:numId="34" w16cid:durableId="45760938">
    <w:abstractNumId w:val="10"/>
  </w:num>
  <w:num w:numId="35" w16cid:durableId="605044826">
    <w:abstractNumId w:val="38"/>
  </w:num>
  <w:num w:numId="36" w16cid:durableId="1442414164">
    <w:abstractNumId w:val="37"/>
  </w:num>
  <w:num w:numId="37" w16cid:durableId="1555043844">
    <w:abstractNumId w:val="3"/>
  </w:num>
  <w:num w:numId="38" w16cid:durableId="656761392">
    <w:abstractNumId w:val="32"/>
  </w:num>
  <w:num w:numId="39" w16cid:durableId="643658539">
    <w:abstractNumId w:val="18"/>
  </w:num>
  <w:num w:numId="40" w16cid:durableId="1983725882">
    <w:abstractNumId w:val="33"/>
  </w:num>
  <w:num w:numId="41" w16cid:durableId="286855974">
    <w:abstractNumId w:val="22"/>
  </w:num>
  <w:num w:numId="42" w16cid:durableId="1745562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ocumentProtection w:edit="readOnly"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73"/>
    <w:rsid w:val="00011C16"/>
    <w:rsid w:val="00020956"/>
    <w:rsid w:val="00036DD9"/>
    <w:rsid w:val="000442F1"/>
    <w:rsid w:val="00064166"/>
    <w:rsid w:val="0007260C"/>
    <w:rsid w:val="00075FB5"/>
    <w:rsid w:val="0009241B"/>
    <w:rsid w:val="000936ED"/>
    <w:rsid w:val="000B7844"/>
    <w:rsid w:val="0010698D"/>
    <w:rsid w:val="001414C1"/>
    <w:rsid w:val="00142016"/>
    <w:rsid w:val="00154310"/>
    <w:rsid w:val="00174F0D"/>
    <w:rsid w:val="00191497"/>
    <w:rsid w:val="0019403A"/>
    <w:rsid w:val="001A0467"/>
    <w:rsid w:val="001B0920"/>
    <w:rsid w:val="001C6C05"/>
    <w:rsid w:val="0021486B"/>
    <w:rsid w:val="0022164A"/>
    <w:rsid w:val="00246E02"/>
    <w:rsid w:val="00250B8E"/>
    <w:rsid w:val="00256083"/>
    <w:rsid w:val="00261495"/>
    <w:rsid w:val="00292B45"/>
    <w:rsid w:val="002964BF"/>
    <w:rsid w:val="002A46D0"/>
    <w:rsid w:val="002C023E"/>
    <w:rsid w:val="002C485B"/>
    <w:rsid w:val="002F02C5"/>
    <w:rsid w:val="002F467D"/>
    <w:rsid w:val="002F46A2"/>
    <w:rsid w:val="002F6F0B"/>
    <w:rsid w:val="003004AC"/>
    <w:rsid w:val="00305255"/>
    <w:rsid w:val="003066F7"/>
    <w:rsid w:val="00320BC0"/>
    <w:rsid w:val="00335BBA"/>
    <w:rsid w:val="00353B7F"/>
    <w:rsid w:val="00354E23"/>
    <w:rsid w:val="0035695D"/>
    <w:rsid w:val="00360369"/>
    <w:rsid w:val="00363127"/>
    <w:rsid w:val="0037278D"/>
    <w:rsid w:val="00373D28"/>
    <w:rsid w:val="00386B33"/>
    <w:rsid w:val="003873CE"/>
    <w:rsid w:val="00387BF6"/>
    <w:rsid w:val="0039576A"/>
    <w:rsid w:val="003A38C1"/>
    <w:rsid w:val="003B1125"/>
    <w:rsid w:val="003B7C87"/>
    <w:rsid w:val="003C1CCF"/>
    <w:rsid w:val="003C1E2F"/>
    <w:rsid w:val="003D4812"/>
    <w:rsid w:val="003F1AAA"/>
    <w:rsid w:val="003F2722"/>
    <w:rsid w:val="00411602"/>
    <w:rsid w:val="00411EDB"/>
    <w:rsid w:val="0044492A"/>
    <w:rsid w:val="00453D95"/>
    <w:rsid w:val="0046049F"/>
    <w:rsid w:val="00465445"/>
    <w:rsid w:val="00467E38"/>
    <w:rsid w:val="004732B0"/>
    <w:rsid w:val="00485FBF"/>
    <w:rsid w:val="004A59AE"/>
    <w:rsid w:val="004B56A4"/>
    <w:rsid w:val="004D735B"/>
    <w:rsid w:val="004F4600"/>
    <w:rsid w:val="005144BF"/>
    <w:rsid w:val="005148B5"/>
    <w:rsid w:val="00520005"/>
    <w:rsid w:val="00522369"/>
    <w:rsid w:val="00522501"/>
    <w:rsid w:val="005264ED"/>
    <w:rsid w:val="00544146"/>
    <w:rsid w:val="00555765"/>
    <w:rsid w:val="0055677E"/>
    <w:rsid w:val="00557437"/>
    <w:rsid w:val="00582424"/>
    <w:rsid w:val="00584D3B"/>
    <w:rsid w:val="00592644"/>
    <w:rsid w:val="005A0800"/>
    <w:rsid w:val="005B4E01"/>
    <w:rsid w:val="005C4291"/>
    <w:rsid w:val="005E65DD"/>
    <w:rsid w:val="006020CC"/>
    <w:rsid w:val="0060528C"/>
    <w:rsid w:val="00612473"/>
    <w:rsid w:val="00655BB9"/>
    <w:rsid w:val="00671626"/>
    <w:rsid w:val="00671DBF"/>
    <w:rsid w:val="0067523F"/>
    <w:rsid w:val="00680808"/>
    <w:rsid w:val="00683AD0"/>
    <w:rsid w:val="00686E4D"/>
    <w:rsid w:val="006C1718"/>
    <w:rsid w:val="006D14B9"/>
    <w:rsid w:val="006D23F1"/>
    <w:rsid w:val="006E1A6A"/>
    <w:rsid w:val="0072239A"/>
    <w:rsid w:val="007413C7"/>
    <w:rsid w:val="00761252"/>
    <w:rsid w:val="00764108"/>
    <w:rsid w:val="007736DC"/>
    <w:rsid w:val="00781DC8"/>
    <w:rsid w:val="007A288B"/>
    <w:rsid w:val="007B5F12"/>
    <w:rsid w:val="007B63F7"/>
    <w:rsid w:val="007B7D31"/>
    <w:rsid w:val="007D3318"/>
    <w:rsid w:val="007D4D5D"/>
    <w:rsid w:val="007D6349"/>
    <w:rsid w:val="007E1258"/>
    <w:rsid w:val="007E4E82"/>
    <w:rsid w:val="007E5F47"/>
    <w:rsid w:val="007F1EE0"/>
    <w:rsid w:val="00807ED4"/>
    <w:rsid w:val="00833A9F"/>
    <w:rsid w:val="008350E8"/>
    <w:rsid w:val="008400A5"/>
    <w:rsid w:val="008400AC"/>
    <w:rsid w:val="00842C38"/>
    <w:rsid w:val="008432D8"/>
    <w:rsid w:val="00862150"/>
    <w:rsid w:val="00870D3F"/>
    <w:rsid w:val="00882267"/>
    <w:rsid w:val="008A26F4"/>
    <w:rsid w:val="008A5809"/>
    <w:rsid w:val="008B3A20"/>
    <w:rsid w:val="008B42CD"/>
    <w:rsid w:val="008D3EB3"/>
    <w:rsid w:val="008D745C"/>
    <w:rsid w:val="008E5457"/>
    <w:rsid w:val="00900864"/>
    <w:rsid w:val="00900C1A"/>
    <w:rsid w:val="00911C5E"/>
    <w:rsid w:val="00913DC3"/>
    <w:rsid w:val="00916604"/>
    <w:rsid w:val="009168E2"/>
    <w:rsid w:val="009223A7"/>
    <w:rsid w:val="009232F3"/>
    <w:rsid w:val="00930B75"/>
    <w:rsid w:val="00937100"/>
    <w:rsid w:val="00950B57"/>
    <w:rsid w:val="00970155"/>
    <w:rsid w:val="009723FC"/>
    <w:rsid w:val="00981A69"/>
    <w:rsid w:val="009970E4"/>
    <w:rsid w:val="009A38B7"/>
    <w:rsid w:val="009A62CE"/>
    <w:rsid w:val="009B0339"/>
    <w:rsid w:val="009B6FFD"/>
    <w:rsid w:val="009C73A0"/>
    <w:rsid w:val="009E5077"/>
    <w:rsid w:val="00A165E4"/>
    <w:rsid w:val="00A319FD"/>
    <w:rsid w:val="00A37CD7"/>
    <w:rsid w:val="00A5214E"/>
    <w:rsid w:val="00A53C11"/>
    <w:rsid w:val="00A55099"/>
    <w:rsid w:val="00A61170"/>
    <w:rsid w:val="00A63F67"/>
    <w:rsid w:val="00A7423B"/>
    <w:rsid w:val="00AB0A25"/>
    <w:rsid w:val="00AB3983"/>
    <w:rsid w:val="00AF138D"/>
    <w:rsid w:val="00AF642D"/>
    <w:rsid w:val="00B02A05"/>
    <w:rsid w:val="00B13344"/>
    <w:rsid w:val="00B13F76"/>
    <w:rsid w:val="00B14925"/>
    <w:rsid w:val="00B152D5"/>
    <w:rsid w:val="00B15F15"/>
    <w:rsid w:val="00B175BA"/>
    <w:rsid w:val="00B2288E"/>
    <w:rsid w:val="00B30CCD"/>
    <w:rsid w:val="00B406E5"/>
    <w:rsid w:val="00B4421B"/>
    <w:rsid w:val="00B61095"/>
    <w:rsid w:val="00B73BEE"/>
    <w:rsid w:val="00B76967"/>
    <w:rsid w:val="00B83B8A"/>
    <w:rsid w:val="00B93235"/>
    <w:rsid w:val="00B949A1"/>
    <w:rsid w:val="00BC178D"/>
    <w:rsid w:val="00BE1B83"/>
    <w:rsid w:val="00BF00DB"/>
    <w:rsid w:val="00BF0736"/>
    <w:rsid w:val="00BF2EC2"/>
    <w:rsid w:val="00C06104"/>
    <w:rsid w:val="00C151D0"/>
    <w:rsid w:val="00C30A14"/>
    <w:rsid w:val="00C41CA7"/>
    <w:rsid w:val="00C542BE"/>
    <w:rsid w:val="00C57F59"/>
    <w:rsid w:val="00C62044"/>
    <w:rsid w:val="00C62513"/>
    <w:rsid w:val="00C7125D"/>
    <w:rsid w:val="00C814FD"/>
    <w:rsid w:val="00C92AAB"/>
    <w:rsid w:val="00CA1F5B"/>
    <w:rsid w:val="00CA5CE7"/>
    <w:rsid w:val="00CB676E"/>
    <w:rsid w:val="00CD18D7"/>
    <w:rsid w:val="00CE64E4"/>
    <w:rsid w:val="00CE65E9"/>
    <w:rsid w:val="00D1202A"/>
    <w:rsid w:val="00D72B7E"/>
    <w:rsid w:val="00D82687"/>
    <w:rsid w:val="00D83299"/>
    <w:rsid w:val="00D97256"/>
    <w:rsid w:val="00D9742E"/>
    <w:rsid w:val="00D97FFB"/>
    <w:rsid w:val="00DA12D5"/>
    <w:rsid w:val="00DB0588"/>
    <w:rsid w:val="00DB4D8A"/>
    <w:rsid w:val="00DC0A6E"/>
    <w:rsid w:val="00DC29C5"/>
    <w:rsid w:val="00DC4B3D"/>
    <w:rsid w:val="00DD372A"/>
    <w:rsid w:val="00DE62A0"/>
    <w:rsid w:val="00DE7560"/>
    <w:rsid w:val="00DF11CD"/>
    <w:rsid w:val="00E25C3E"/>
    <w:rsid w:val="00E314D1"/>
    <w:rsid w:val="00E347CB"/>
    <w:rsid w:val="00E44E8A"/>
    <w:rsid w:val="00E47E9C"/>
    <w:rsid w:val="00E54FCB"/>
    <w:rsid w:val="00EB2063"/>
    <w:rsid w:val="00EC641A"/>
    <w:rsid w:val="00ED154D"/>
    <w:rsid w:val="00ED4BC6"/>
    <w:rsid w:val="00ED7BE9"/>
    <w:rsid w:val="00EF24D5"/>
    <w:rsid w:val="00EF7A35"/>
    <w:rsid w:val="00EF7DB8"/>
    <w:rsid w:val="00F233E4"/>
    <w:rsid w:val="00F27F91"/>
    <w:rsid w:val="00F301F7"/>
    <w:rsid w:val="00F4228A"/>
    <w:rsid w:val="00F43B20"/>
    <w:rsid w:val="00FA4856"/>
    <w:rsid w:val="00FB3F55"/>
    <w:rsid w:val="00FC38E8"/>
    <w:rsid w:val="00FE26E2"/>
    <w:rsid w:val="40A477BA"/>
    <w:rsid w:val="5649F6A0"/>
  </w:rsids>
  <w:docVars>
    <w:docVar w:name="beskyttet" w:val="nei"/>
    <w:docVar w:name="docver" w:val="2.20"/>
    <w:docVar w:name="ek_ansvarlig" w:val="Storvik, Terje"/>
    <w:docVar w:name="ek_bedriftsnavn" w:val="Tensio"/>
    <w:docVar w:name="ek_dbfields" w:val="EK_Avdeling¤2#4¤2#¤3#EK_Avsnitt¤2#4¤2#¤3#EK_Bedriftsnavn¤2#1¤2#Tensio¤3#EK_GjelderFra¤2#0¤2#¤3#EK_KlGjelderFra¤2#0¤2#¤3#EK_Opprettet¤2#0¤2#27.11.2020¤3#EK_Utgitt¤2#0¤2#19.01.2018¤3#EK_IBrukDato¤2#0¤2#27.11.2020¤3#EK_DokumentID¤2#0¤2#D09773¤3#EK_DokTittel¤2#0¤2#Vilkår for Nettinvesteringer som utløser anleggsbidrag¤3#EK_DokType¤2#0¤2#Vedlegg¤3#EK_DocLvlShort¤2#0¤2#¤3#EK_DocLevel¤2#0¤2#¤3#EK_EksRef¤2#2¤2# 0_x0009_¤3#EK_Erstatter¤2#0¤2#0.00¤3#EK_ErstatterD¤2#0¤2#19.01.2018¤3#EK_Signatur¤2#0¤2#¤3#EK_Verifisert¤2#0¤2#¤3#EK_Hørt¤2#0¤2#¤3#EK_AuditReview¤2#2¤2#¤3#EK_AuditApprove¤2#2¤2#¤3#EK_Gradering¤2#0¤2#Åpen¤3#EK_Gradnr¤2#4¤2#0¤3#EK_Kapittel¤2#4¤2#¤3#EK_Referanse¤2#2¤2# 0_x0009_¤3#EK_RefNr¤2#0¤2#TS.K.1.4.3-02¤3#EK_Revisjon¤2#0¤2#-¤3#EK_Ansvarlig¤2#0¤2#Storvik, Terje¤3#EK_SkrevetAv¤2#0¤2#Terje Storvik¤3#EK_DokAnsvNAVN¤2#0¤2#¤3#EK_UText2¤2#0¤2#¤3#EK_UText3¤2#0¤2#¤3#EK_UText4¤2#0¤2#¤3#EK_Status¤2#0¤2#Endres¤3#EK_Stikkord¤2#0¤2#forsyningsområde bunnfradrag gravearbeider reinvestering forsterkning¤3#EK_SuperStikkord¤2#0¤2#¤3#EK_Rapport¤2#3¤2#¤3#EK_EKPrintMerke¤2#0¤2#Uoffisiell utskrift er kun gyldig på utskriftsdato¤3#EK_Watermark¤2#0¤2#¤3#EK_Utgave¤2#0¤2#0.01¤3#EK_Merknad¤2#7¤2#8.7.2021 NO: Fjernet henvisning til Dekar (grunneieravståelser) og satt inn DokID for dokumentet.¤3#EK_VerLogg¤2#2¤2#Ver. 0.01 - 27.11.2020|8.7.2021 NO: Fjernet henvisning til Dekar (grunneieravståelser) og satt inn DokID for dokumentet.¤1#Ver. 0.00 - 27.11.2020|27.11.2020 Dokument slettet og lastet inn på nytt igjen da vebgrensesnitt kom med linkt til Energi Norge sin standardavtale.¤3#EK_RF1¤2#4¤2#¤3#EK_RF2¤2#4¤2#¤3#EK_RF3¤2#4¤2#¤3#EK_RF4¤2#4¤2#¤3#EK_RF5¤2#4¤2#¤3#EK_RF6¤2#4¤2#¤3#EK_RF7¤2#4¤2#¤3#EK_RF8¤2#4¤2#¤3#EK_RF9¤2#4¤2#¤3#EK_Mappe1¤2#4¤2#¤3#EK_Mappe2¤2#4¤2#¤3#EK_Mappe3¤2#4¤2#¤3#EK_Mappe4¤2#4¤2#¤3#EK_Mappe5¤2#4¤2#¤3#EK_Mappe6¤2#4¤2#¤3#EK_Mappe7¤2#4¤2#¤3#EK_Mappe8¤2#4¤2#¤3#EK_Mappe9¤2#4¤2#¤3#EK_DL¤2#0¤2#2¤3#EK_GjelderTil¤2#0¤2#19.01.2022¤3#EK_Vedlegg¤2#2¤2# 0_x0009_¤3#EK_AvdelingOver¤2#4¤2#¤3#EK_HRefNr¤2#0¤2#¤3#EK_HbNavn¤2#0¤2#¤3#EK_DokRefnr¤2#4¤2#000102010403¤3#EK_Dokendrdato¤2#4¤2#01.07.2021 08:04:58¤3#EK_HbType¤2#4¤2#¤3#EK_Offisiell¤2#4¤2#¤3#EK_VedleggRef¤2#4¤2#TS.K.1.4.3-02¤3#EK_Strukt00¤2#5¤2#¤5#TS¤5#TENSIO TS¤5#0¤5#0¤4#.¤5#K¤5#Kjerneprosesser TENSIO TS¤5#1¤5#0¤4#.¤5#1¤5#Styre  nettutbygging¤5#1¤5#0¤4#.¤5#4¤5#Avtaler¤5#0¤5#0¤4#.¤5#3¤5#Standard nettutbyggingsavtaler med standard vedlegg¤5#0¤5#0¤4#\ ¤3#EK_Strukt01¤2#5¤2#¤5#¤5#TENSIO TS¤5#2¤5#0¤4#¤5#¤5#Nettutbygging¤5#2¤5#0¤4#¤5#¤5#NU-Prosjekt¤5#2¤5#0¤4#\ ¤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TS¤5#TENSIO TS¤5#0¤5#0¤4#.¤5#K¤5#Kjerneprosesser TENSIO TS¤5#1¤5#0¤4#.¤5#1¤5#Styre  nettutbygging¤5#1¤5#0¤4#.¤5#4¤5#Avtaler¤5#0¤5#0¤4#.¤5#3¤5#Standard nettutbyggingsavtaler med standard vedlegg¤5#0¤5#0¤4#\ ¤3#"/>
    <w:docVar w:name="ek_dl" w:val="2"/>
    <w:docVar w:name="ek_doktittel" w:val="Vilkår for Nettinvesteringer som utløser anleggsbidrag"/>
    <w:docVar w:name="ek_doktype" w:val="Vedlegg"/>
    <w:docVar w:name="ek_dokumentid" w:val="D09773"/>
    <w:docVar w:name="ek_editprotect" w:val="0"/>
    <w:docVar w:name="ek_ekprintmerke" w:val="Uoffisiell utskrift er kun gyldig på utskriftsdato"/>
    <w:docVar w:name="ek_erstatter" w:val="0.00"/>
    <w:docVar w:name="ek_erstatterd" w:val="19.01.2018"/>
    <w:docVar w:name="ek_format" w:val="10"/>
    <w:docVar w:name="ek_gjelderfra" w:val="[]"/>
    <w:docVar w:name="ek_gjeldertil" w:val="19.01.2022"/>
    <w:docVar w:name="ek_gradering" w:val="Åpen"/>
    <w:docVar w:name="ek_ibrukdato" w:val="27.11.2020"/>
    <w:docVar w:name="ek_merknad" w:val="8.7.2021 NO: Fjernet henvisning til Dekar (grunneieravståelser) og satt inn DokID for dokumentet."/>
    <w:docVar w:name="ek_opprettet" w:val="27.11.2020"/>
    <w:docVar w:name="ek_refnr" w:val="TS.K.1.4.3-02"/>
    <w:docVar w:name="ek_revisjon" w:val="-"/>
    <w:docVar w:name="ek_skrevetav" w:val="Terje Storvik"/>
    <w:docVar w:name="ek_status" w:val="Endres"/>
    <w:docVar w:name="ek_stikkord" w:val="forsyningsområde bunnfradrag gravearbeider reinvestering forsterkning"/>
    <w:docVar w:name="ek_type" w:val="ARB"/>
    <w:docVar w:name="ek_utgave" w:val="0.01"/>
    <w:docVar w:name="ek_utgitt" w:val="19.01.2018"/>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65A9827A"/>
  <w15:docId w15:val="{92619949-567C-463D-AB78-A523CEEA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083"/>
    <w:pPr>
      <w:spacing w:after="5" w:line="248" w:lineRule="auto"/>
      <w:ind w:left="10" w:hanging="10"/>
    </w:pPr>
    <w:rPr>
      <w:rFonts w:eastAsia="Times New Roman" w:cs="Times New Roman"/>
      <w:color w:val="000000"/>
    </w:rPr>
  </w:style>
  <w:style w:type="paragraph" w:styleId="Heading1">
    <w:name w:val="heading 1"/>
    <w:next w:val="Normal"/>
    <w:link w:val="Overskrift1Tegn"/>
    <w:uiPriority w:val="9"/>
    <w:qFormat/>
    <w:rsid w:val="007B5F12"/>
    <w:pPr>
      <w:keepNext/>
      <w:keepLines/>
      <w:numPr>
        <w:numId w:val="26"/>
      </w:numPr>
      <w:spacing w:after="120"/>
      <w:ind w:left="431" w:hanging="431"/>
      <w:outlineLvl w:val="0"/>
    </w:pPr>
    <w:rPr>
      <w:rFonts w:ascii="Calibri" w:eastAsia="Calibri" w:hAnsi="Calibri" w:cs="Calibri"/>
      <w:b/>
      <w:caps/>
      <w:color w:val="632423"/>
      <w:sz w:val="28"/>
    </w:rPr>
  </w:style>
  <w:style w:type="paragraph" w:styleId="Heading2">
    <w:name w:val="heading 2"/>
    <w:next w:val="Normal"/>
    <w:link w:val="Overskrift2Tegn"/>
    <w:uiPriority w:val="9"/>
    <w:unhideWhenUsed/>
    <w:qFormat/>
    <w:rsid w:val="00A53C11"/>
    <w:pPr>
      <w:keepNext/>
      <w:keepLines/>
      <w:numPr>
        <w:ilvl w:val="1"/>
        <w:numId w:val="26"/>
      </w:numPr>
      <w:spacing w:after="33"/>
      <w:outlineLvl w:val="1"/>
    </w:pPr>
    <w:rPr>
      <w:rFonts w:ascii="Calibri" w:eastAsia="Calibri" w:hAnsi="Calibri" w:cs="Calibri"/>
      <w:b/>
      <w:iCs/>
      <w:color w:val="000000"/>
      <w:sz w:val="24"/>
      <w:szCs w:val="24"/>
    </w:rPr>
  </w:style>
  <w:style w:type="paragraph" w:styleId="Heading3">
    <w:name w:val="heading 3"/>
    <w:next w:val="Normal"/>
    <w:link w:val="Overskrift3Tegn"/>
    <w:uiPriority w:val="9"/>
    <w:unhideWhenUsed/>
    <w:qFormat/>
    <w:pPr>
      <w:keepNext/>
      <w:keepLines/>
      <w:spacing w:after="33"/>
      <w:ind w:left="10" w:hanging="10"/>
      <w:outlineLvl w:val="2"/>
    </w:pPr>
    <w:rPr>
      <w:rFonts w:ascii="Calibri" w:eastAsia="Calibri" w:hAnsi="Calibri" w:cs="Calibri"/>
      <w:b/>
      <w:i/>
      <w:color w:val="000000"/>
    </w:rPr>
  </w:style>
  <w:style w:type="paragraph" w:styleId="Heading4">
    <w:name w:val="heading 4"/>
    <w:next w:val="Normal"/>
    <w:link w:val="Overskrift4Tegn"/>
    <w:uiPriority w:val="9"/>
    <w:unhideWhenUsed/>
    <w:qFormat/>
    <w:pPr>
      <w:keepNext/>
      <w:keepLines/>
      <w:spacing w:after="33"/>
      <w:ind w:left="10" w:hanging="10"/>
      <w:outlineLvl w:val="3"/>
    </w:pPr>
    <w:rPr>
      <w:rFonts w:ascii="Calibri" w:eastAsia="Calibri" w:hAnsi="Calibri" w:cs="Calibri"/>
      <w:b/>
      <w:i/>
      <w:color w:val="000000"/>
    </w:rPr>
  </w:style>
  <w:style w:type="paragraph" w:styleId="Heading5">
    <w:name w:val="heading 5"/>
    <w:basedOn w:val="Normal"/>
    <w:next w:val="Normal"/>
    <w:link w:val="Overskrift5Tegn"/>
    <w:uiPriority w:val="9"/>
    <w:semiHidden/>
    <w:unhideWhenUsed/>
    <w:qFormat/>
    <w:rsid w:val="00ED4BC6"/>
    <w:pPr>
      <w:keepNext/>
      <w:keepLines/>
      <w:spacing w:before="40" w:after="0"/>
      <w:ind w:left="1008" w:right="475"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Overskrift6Tegn"/>
    <w:uiPriority w:val="9"/>
    <w:semiHidden/>
    <w:unhideWhenUsed/>
    <w:qFormat/>
    <w:rsid w:val="00ED4BC6"/>
    <w:pPr>
      <w:keepNext/>
      <w:keepLines/>
      <w:spacing w:before="40" w:after="0"/>
      <w:ind w:left="1152" w:right="475"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Overskrift7Tegn"/>
    <w:uiPriority w:val="9"/>
    <w:semiHidden/>
    <w:unhideWhenUsed/>
    <w:qFormat/>
    <w:rsid w:val="00ED4BC6"/>
    <w:pPr>
      <w:keepNext/>
      <w:keepLines/>
      <w:spacing w:before="40" w:after="0"/>
      <w:ind w:left="1296" w:right="475"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Overskrift8Tegn"/>
    <w:uiPriority w:val="9"/>
    <w:semiHidden/>
    <w:unhideWhenUsed/>
    <w:qFormat/>
    <w:rsid w:val="00ED4BC6"/>
    <w:pPr>
      <w:keepNext/>
      <w:keepLines/>
      <w:spacing w:before="40" w:after="0"/>
      <w:ind w:left="1440" w:right="475"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uiPriority w:val="9"/>
    <w:semiHidden/>
    <w:unhideWhenUsed/>
    <w:qFormat/>
    <w:rsid w:val="00ED4BC6"/>
    <w:pPr>
      <w:keepNext/>
      <w:keepLines/>
      <w:spacing w:before="40" w:after="0"/>
      <w:ind w:left="1584" w:right="475"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verskrift1Tegn">
    <w:name w:val="Overskrift 1 Tegn"/>
    <w:link w:val="Heading1"/>
    <w:uiPriority w:val="9"/>
    <w:rsid w:val="007B5F12"/>
    <w:rPr>
      <w:rFonts w:ascii="Calibri" w:eastAsia="Calibri" w:hAnsi="Calibri" w:cs="Calibri"/>
      <w:b/>
      <w:caps/>
      <w:color w:val="632423"/>
      <w:sz w:val="28"/>
    </w:rPr>
  </w:style>
  <w:style w:type="character" w:customStyle="1" w:styleId="Overskrift2Tegn">
    <w:name w:val="Overskrift 2 Tegn"/>
    <w:link w:val="Heading2"/>
    <w:uiPriority w:val="9"/>
    <w:rsid w:val="00A53C11"/>
    <w:rPr>
      <w:rFonts w:ascii="Calibri" w:eastAsia="Calibri" w:hAnsi="Calibri" w:cs="Calibri"/>
      <w:b/>
      <w:iCs/>
      <w:color w:val="000000"/>
      <w:sz w:val="24"/>
      <w:szCs w:val="24"/>
    </w:rPr>
  </w:style>
  <w:style w:type="character" w:customStyle="1" w:styleId="Overskrift3Tegn">
    <w:name w:val="Overskrift 3 Tegn"/>
    <w:link w:val="Heading3"/>
    <w:uiPriority w:val="9"/>
    <w:rPr>
      <w:rFonts w:ascii="Calibri" w:eastAsia="Calibri" w:hAnsi="Calibri" w:cs="Calibri"/>
      <w:b/>
      <w:i/>
      <w:color w:val="000000"/>
      <w:sz w:val="22"/>
    </w:rPr>
  </w:style>
  <w:style w:type="character" w:customStyle="1" w:styleId="Overskrift4Tegn">
    <w:name w:val="Overskrift 4 Tegn"/>
    <w:link w:val="Heading4"/>
    <w:uiPriority w:val="9"/>
    <w:rPr>
      <w:rFonts w:ascii="Calibri" w:eastAsia="Calibri" w:hAnsi="Calibri" w:cs="Calibri"/>
      <w:b/>
      <w:i/>
      <w:color w:val="000000"/>
      <w:sz w:val="22"/>
    </w:rPr>
  </w:style>
  <w:style w:type="character" w:styleId="Hyperlink">
    <w:name w:val="Hyperlink"/>
    <w:basedOn w:val="DefaultParagraphFont"/>
    <w:uiPriority w:val="99"/>
    <w:unhideWhenUsed/>
    <w:rsid w:val="009C73A0"/>
    <w:rPr>
      <w:color w:val="0000FF"/>
      <w:u w:val="single"/>
    </w:rPr>
  </w:style>
  <w:style w:type="paragraph" w:styleId="ListParagraph">
    <w:name w:val="List Paragraph"/>
    <w:basedOn w:val="Normal"/>
    <w:uiPriority w:val="34"/>
    <w:qFormat/>
    <w:rsid w:val="00353B7F"/>
    <w:pPr>
      <w:ind w:left="720"/>
      <w:contextualSpacing/>
    </w:pPr>
  </w:style>
  <w:style w:type="paragraph" w:styleId="BalloonText">
    <w:name w:val="Balloon Text"/>
    <w:basedOn w:val="Normal"/>
    <w:link w:val="BobletekstTegn"/>
    <w:uiPriority w:val="99"/>
    <w:semiHidden/>
    <w:unhideWhenUsed/>
    <w:rsid w:val="00F4228A"/>
    <w:pPr>
      <w:spacing w:after="0" w:line="240" w:lineRule="auto"/>
    </w:pPr>
    <w:rPr>
      <w:rFonts w:ascii="Segoe UI" w:hAnsi="Segoe UI" w:cs="Segoe UI"/>
      <w:sz w:val="18"/>
      <w:szCs w:val="18"/>
    </w:rPr>
  </w:style>
  <w:style w:type="character" w:customStyle="1" w:styleId="BobletekstTegn">
    <w:name w:val="Bobletekst Tegn"/>
    <w:basedOn w:val="DefaultParagraphFont"/>
    <w:link w:val="BalloonText"/>
    <w:uiPriority w:val="99"/>
    <w:semiHidden/>
    <w:rsid w:val="00F4228A"/>
    <w:rPr>
      <w:rFonts w:ascii="Segoe UI" w:eastAsia="Times New Roman" w:hAnsi="Segoe UI" w:cs="Segoe UI"/>
      <w:color w:val="000000"/>
      <w:sz w:val="18"/>
      <w:szCs w:val="18"/>
    </w:rPr>
  </w:style>
  <w:style w:type="character" w:customStyle="1" w:styleId="Ulstomtale1">
    <w:name w:val="Uløst omtale1"/>
    <w:basedOn w:val="DefaultParagraphFont"/>
    <w:uiPriority w:val="99"/>
    <w:semiHidden/>
    <w:unhideWhenUsed/>
    <w:rsid w:val="00CE65E9"/>
    <w:rPr>
      <w:color w:val="605E5C"/>
      <w:shd w:val="clear" w:color="auto" w:fill="E1DFDD"/>
    </w:rPr>
  </w:style>
  <w:style w:type="paragraph" w:styleId="Header">
    <w:name w:val="header"/>
    <w:basedOn w:val="Normal"/>
    <w:link w:val="TopptekstTegn"/>
    <w:uiPriority w:val="99"/>
    <w:semiHidden/>
    <w:unhideWhenUsed/>
    <w:rsid w:val="005E65DD"/>
    <w:pPr>
      <w:tabs>
        <w:tab w:val="center" w:pos="4536"/>
        <w:tab w:val="right" w:pos="9072"/>
      </w:tabs>
      <w:spacing w:after="0" w:line="240" w:lineRule="auto"/>
    </w:pPr>
  </w:style>
  <w:style w:type="character" w:customStyle="1" w:styleId="TopptekstTegn">
    <w:name w:val="Topptekst Tegn"/>
    <w:basedOn w:val="DefaultParagraphFont"/>
    <w:link w:val="Header"/>
    <w:uiPriority w:val="99"/>
    <w:semiHidden/>
    <w:rsid w:val="005E65DD"/>
    <w:rPr>
      <w:rFonts w:ascii="Times New Roman" w:eastAsia="Times New Roman" w:hAnsi="Times New Roman" w:cs="Times New Roman"/>
      <w:color w:val="000000"/>
    </w:rPr>
  </w:style>
  <w:style w:type="character" w:styleId="FollowedHyperlink">
    <w:name w:val="FollowedHyperlink"/>
    <w:basedOn w:val="DefaultParagraphFont"/>
    <w:uiPriority w:val="99"/>
    <w:semiHidden/>
    <w:unhideWhenUsed/>
    <w:rsid w:val="00174F0D"/>
    <w:rPr>
      <w:color w:val="954F72" w:themeColor="followedHyperlink"/>
      <w:u w:val="single"/>
    </w:rPr>
  </w:style>
  <w:style w:type="character" w:customStyle="1" w:styleId="Overskrift5Tegn">
    <w:name w:val="Overskrift 5 Tegn"/>
    <w:basedOn w:val="DefaultParagraphFont"/>
    <w:link w:val="Heading5"/>
    <w:uiPriority w:val="9"/>
    <w:semiHidden/>
    <w:rsid w:val="00ED4BC6"/>
    <w:rPr>
      <w:rFonts w:asciiTheme="majorHAnsi" w:eastAsiaTheme="majorEastAsia" w:hAnsiTheme="majorHAnsi" w:cstheme="majorBidi"/>
      <w:color w:val="2F5496" w:themeColor="accent1" w:themeShade="BF"/>
    </w:rPr>
  </w:style>
  <w:style w:type="character" w:customStyle="1" w:styleId="Overskrift6Tegn">
    <w:name w:val="Overskrift 6 Tegn"/>
    <w:basedOn w:val="DefaultParagraphFont"/>
    <w:link w:val="Heading6"/>
    <w:uiPriority w:val="9"/>
    <w:semiHidden/>
    <w:rsid w:val="00ED4BC6"/>
    <w:rPr>
      <w:rFonts w:asciiTheme="majorHAnsi" w:eastAsiaTheme="majorEastAsia" w:hAnsiTheme="majorHAnsi" w:cstheme="majorBidi"/>
      <w:color w:val="1F3763" w:themeColor="accent1" w:themeShade="7F"/>
    </w:rPr>
  </w:style>
  <w:style w:type="character" w:customStyle="1" w:styleId="Overskrift7Tegn">
    <w:name w:val="Overskrift 7 Tegn"/>
    <w:basedOn w:val="DefaultParagraphFont"/>
    <w:link w:val="Heading7"/>
    <w:uiPriority w:val="9"/>
    <w:semiHidden/>
    <w:rsid w:val="00ED4BC6"/>
    <w:rPr>
      <w:rFonts w:asciiTheme="majorHAnsi" w:eastAsiaTheme="majorEastAsia" w:hAnsiTheme="majorHAnsi" w:cstheme="majorBidi"/>
      <w:i/>
      <w:iCs/>
      <w:color w:val="1F3763" w:themeColor="accent1" w:themeShade="7F"/>
    </w:rPr>
  </w:style>
  <w:style w:type="character" w:customStyle="1" w:styleId="Overskrift8Tegn">
    <w:name w:val="Overskrift 8 Tegn"/>
    <w:basedOn w:val="DefaultParagraphFont"/>
    <w:link w:val="Heading8"/>
    <w:uiPriority w:val="9"/>
    <w:semiHidden/>
    <w:rsid w:val="00ED4BC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uiPriority w:val="9"/>
    <w:semiHidden/>
    <w:rsid w:val="00ED4BC6"/>
    <w:rPr>
      <w:rFonts w:asciiTheme="majorHAnsi" w:eastAsiaTheme="majorEastAsia" w:hAnsiTheme="majorHAnsi" w:cstheme="majorBidi"/>
      <w:i/>
      <w:iCs/>
      <w:color w:val="272727" w:themeColor="text1" w:themeTint="D8"/>
      <w:sz w:val="21"/>
      <w:szCs w:val="21"/>
    </w:rPr>
  </w:style>
  <w:style w:type="character" w:customStyle="1" w:styleId="Ulstomtale2">
    <w:name w:val="Uløst omtale2"/>
    <w:basedOn w:val="DefaultParagraphFont"/>
    <w:uiPriority w:val="99"/>
    <w:unhideWhenUsed/>
    <w:rsid w:val="00ED4BC6"/>
    <w:rPr>
      <w:color w:val="605E5C"/>
      <w:shd w:val="clear" w:color="auto" w:fill="E1DFDD"/>
    </w:rPr>
  </w:style>
  <w:style w:type="paragraph" w:styleId="Footer">
    <w:name w:val="footer"/>
    <w:basedOn w:val="Normal"/>
    <w:link w:val="BunntekstTegn"/>
    <w:uiPriority w:val="99"/>
    <w:semiHidden/>
    <w:unhideWhenUsed/>
    <w:rsid w:val="00ED4BC6"/>
    <w:pPr>
      <w:tabs>
        <w:tab w:val="center" w:pos="4536"/>
        <w:tab w:val="right" w:pos="9072"/>
      </w:tabs>
      <w:spacing w:after="0" w:line="240" w:lineRule="auto"/>
      <w:ind w:left="-5" w:right="475"/>
    </w:pPr>
    <w:rPr>
      <w:rFonts w:cstheme="minorHAnsi"/>
    </w:rPr>
  </w:style>
  <w:style w:type="character" w:customStyle="1" w:styleId="BunntekstTegn">
    <w:name w:val="Bunntekst Tegn"/>
    <w:basedOn w:val="DefaultParagraphFont"/>
    <w:link w:val="Footer"/>
    <w:uiPriority w:val="99"/>
    <w:semiHidden/>
    <w:rsid w:val="00ED4BC6"/>
    <w:rPr>
      <w:rFonts w:eastAsia="Times New Roman" w:cstheme="minorHAnsi"/>
      <w:color w:val="000000"/>
    </w:rPr>
  </w:style>
  <w:style w:type="paragraph" w:styleId="Title">
    <w:name w:val="Title"/>
    <w:basedOn w:val="Normal"/>
    <w:next w:val="Normal"/>
    <w:link w:val="TittelTegn"/>
    <w:uiPriority w:val="10"/>
    <w:qFormat/>
    <w:rsid w:val="00ED4BC6"/>
    <w:pPr>
      <w:spacing w:after="0" w:line="240" w:lineRule="auto"/>
      <w:ind w:left="-5" w:right="475"/>
      <w:contextualSpacing/>
    </w:pPr>
    <w:rPr>
      <w:rFonts w:asciiTheme="majorHAnsi" w:eastAsiaTheme="majorEastAsia" w:hAnsiTheme="majorHAnsi" w:cstheme="majorBidi"/>
      <w:color w:val="auto"/>
      <w:spacing w:val="-10"/>
      <w:kern w:val="28"/>
      <w:sz w:val="56"/>
      <w:szCs w:val="56"/>
    </w:rPr>
  </w:style>
  <w:style w:type="character" w:customStyle="1" w:styleId="TittelTegn">
    <w:name w:val="Tittel Tegn"/>
    <w:basedOn w:val="DefaultParagraphFont"/>
    <w:link w:val="Title"/>
    <w:uiPriority w:val="10"/>
    <w:rsid w:val="00ED4BC6"/>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D4BC6"/>
    <w:rPr>
      <w:sz w:val="16"/>
      <w:szCs w:val="16"/>
    </w:rPr>
  </w:style>
  <w:style w:type="paragraph" w:styleId="CommentText">
    <w:name w:val="annotation text"/>
    <w:basedOn w:val="Normal"/>
    <w:link w:val="MerknadstekstTegn"/>
    <w:uiPriority w:val="99"/>
    <w:unhideWhenUsed/>
    <w:rsid w:val="00ED4BC6"/>
    <w:pPr>
      <w:spacing w:line="240" w:lineRule="auto"/>
      <w:ind w:left="-5" w:right="475"/>
    </w:pPr>
    <w:rPr>
      <w:rFonts w:cstheme="minorHAnsi"/>
      <w:sz w:val="20"/>
      <w:szCs w:val="20"/>
    </w:rPr>
  </w:style>
  <w:style w:type="character" w:customStyle="1" w:styleId="MerknadstekstTegn">
    <w:name w:val="Merknadstekst Tegn"/>
    <w:basedOn w:val="DefaultParagraphFont"/>
    <w:link w:val="CommentText"/>
    <w:uiPriority w:val="99"/>
    <w:rsid w:val="00ED4BC6"/>
    <w:rPr>
      <w:rFonts w:eastAsia="Times New Roman" w:cstheme="minorHAnsi"/>
      <w:color w:val="000000"/>
      <w:sz w:val="20"/>
      <w:szCs w:val="20"/>
    </w:rPr>
  </w:style>
  <w:style w:type="paragraph" w:styleId="CommentSubject">
    <w:name w:val="annotation subject"/>
    <w:basedOn w:val="CommentText"/>
    <w:next w:val="CommentText"/>
    <w:link w:val="KommentaremneTegn"/>
    <w:uiPriority w:val="99"/>
    <w:semiHidden/>
    <w:unhideWhenUsed/>
    <w:rsid w:val="00ED4BC6"/>
    <w:rPr>
      <w:b/>
      <w:bCs/>
    </w:rPr>
  </w:style>
  <w:style w:type="character" w:customStyle="1" w:styleId="KommentaremneTegn">
    <w:name w:val="Kommentaremne Tegn"/>
    <w:basedOn w:val="MerknadstekstTegn"/>
    <w:link w:val="CommentSubject"/>
    <w:uiPriority w:val="99"/>
    <w:semiHidden/>
    <w:rsid w:val="00ED4BC6"/>
    <w:rPr>
      <w:rFonts w:eastAsia="Times New Roman" w:cstheme="minorHAnsi"/>
      <w:b/>
      <w:bCs/>
      <w:color w:val="000000"/>
      <w:sz w:val="20"/>
      <w:szCs w:val="20"/>
    </w:rPr>
  </w:style>
  <w:style w:type="paragraph" w:styleId="Revision">
    <w:name w:val="Revision"/>
    <w:hidden/>
    <w:uiPriority w:val="99"/>
    <w:semiHidden/>
    <w:rsid w:val="00ED4BC6"/>
    <w:pPr>
      <w:spacing w:after="0" w:line="240" w:lineRule="auto"/>
    </w:pPr>
    <w:rPr>
      <w:rFonts w:ascii="Times New Roman" w:eastAsia="Times New Roman" w:hAnsi="Times New Roman" w:cs="Times New Roman"/>
      <w:color w:val="000000"/>
    </w:rPr>
  </w:style>
  <w:style w:type="table" w:styleId="TableGrid">
    <w:name w:val="Table Grid"/>
    <w:basedOn w:val="TableNormal"/>
    <w:uiPriority w:val="39"/>
    <w:rsid w:val="00ED4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4BC6"/>
    <w:pPr>
      <w:spacing w:before="100" w:beforeAutospacing="1" w:after="100" w:afterAutospacing="1" w:line="240" w:lineRule="auto"/>
      <w:ind w:left="0" w:right="475" w:firstLine="0"/>
    </w:pPr>
    <w:rPr>
      <w:rFonts w:cstheme="minorHAnsi"/>
      <w:color w:val="auto"/>
      <w:sz w:val="24"/>
      <w:szCs w:val="24"/>
    </w:rPr>
  </w:style>
  <w:style w:type="table" w:styleId="GridTable1Light">
    <w:name w:val="Grid Table 1 Light"/>
    <w:basedOn w:val="TableNormal"/>
    <w:uiPriority w:val="46"/>
    <w:rsid w:val="00ED4B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ED4BC6"/>
    <w:pPr>
      <w:spacing w:before="240"/>
      <w:ind w:left="0" w:firstLine="0"/>
      <w:outlineLvl w:val="9"/>
    </w:pPr>
    <w:rPr>
      <w:rFonts w:asciiTheme="majorHAnsi" w:eastAsiaTheme="majorEastAsia" w:hAnsiTheme="majorHAnsi" w:cstheme="majorBidi"/>
      <w:b w:val="0"/>
      <w:caps w:val="0"/>
      <w:color w:val="2F5496" w:themeColor="accent1" w:themeShade="BF"/>
      <w:sz w:val="32"/>
      <w:szCs w:val="32"/>
    </w:rPr>
  </w:style>
  <w:style w:type="paragraph" w:styleId="TOC1">
    <w:name w:val="toc 1"/>
    <w:basedOn w:val="Normal"/>
    <w:next w:val="Normal"/>
    <w:autoRedefine/>
    <w:uiPriority w:val="39"/>
    <w:unhideWhenUsed/>
    <w:rsid w:val="00ED4BC6"/>
    <w:pPr>
      <w:spacing w:before="100" w:after="100" w:line="247" w:lineRule="auto"/>
      <w:ind w:left="0" w:right="476" w:hanging="11"/>
    </w:pPr>
    <w:rPr>
      <w:rFonts w:cstheme="minorHAnsi"/>
      <w:caps/>
    </w:rPr>
  </w:style>
  <w:style w:type="paragraph" w:styleId="TOC2">
    <w:name w:val="toc 2"/>
    <w:basedOn w:val="Normal"/>
    <w:next w:val="Normal"/>
    <w:autoRedefine/>
    <w:uiPriority w:val="39"/>
    <w:unhideWhenUsed/>
    <w:rsid w:val="00ED4BC6"/>
    <w:pPr>
      <w:spacing w:after="0" w:line="247" w:lineRule="auto"/>
      <w:ind w:left="221" w:right="476" w:hanging="11"/>
    </w:pPr>
    <w:rPr>
      <w:rFonts w:cstheme="minorHAnsi"/>
    </w:rPr>
  </w:style>
  <w:style w:type="paragraph" w:styleId="TOC3">
    <w:name w:val="toc 3"/>
    <w:basedOn w:val="Normal"/>
    <w:next w:val="Normal"/>
    <w:autoRedefine/>
    <w:uiPriority w:val="39"/>
    <w:unhideWhenUsed/>
    <w:rsid w:val="00ED4BC6"/>
    <w:pPr>
      <w:spacing w:after="100"/>
      <w:ind w:left="440" w:right="475"/>
    </w:pPr>
    <w:rPr>
      <w:rFonts w:cstheme="minorHAnsi"/>
    </w:rPr>
  </w:style>
  <w:style w:type="paragraph" w:styleId="NoSpacing">
    <w:name w:val="No Spacing"/>
    <w:uiPriority w:val="1"/>
    <w:qFormat/>
    <w:rsid w:val="00ED4BC6"/>
    <w:pPr>
      <w:spacing w:after="0" w:line="240" w:lineRule="auto"/>
      <w:ind w:left="-5" w:right="475" w:hanging="10"/>
    </w:pPr>
    <w:rPr>
      <w:rFonts w:eastAsia="Times New Roman" w:cstheme="minorHAnsi"/>
      <w:color w:val="000000"/>
    </w:rPr>
  </w:style>
  <w:style w:type="character" w:customStyle="1" w:styleId="Omtale1">
    <w:name w:val="Omtale1"/>
    <w:basedOn w:val="DefaultParagraphFont"/>
    <w:uiPriority w:val="99"/>
    <w:unhideWhenUsed/>
    <w:rsid w:val="00ED4BC6"/>
    <w:rPr>
      <w:color w:val="2B579A"/>
      <w:shd w:val="clear" w:color="auto" w:fill="E1DFDD"/>
    </w:rPr>
  </w:style>
  <w:style w:type="paragraph" w:styleId="FootnoteText">
    <w:name w:val="footnote text"/>
    <w:basedOn w:val="Normal"/>
    <w:link w:val="FotnotetekstTegn"/>
    <w:uiPriority w:val="99"/>
    <w:semiHidden/>
    <w:unhideWhenUsed/>
    <w:rsid w:val="00ED4BC6"/>
    <w:pPr>
      <w:spacing w:after="0" w:line="240" w:lineRule="auto"/>
      <w:ind w:left="0" w:firstLine="0"/>
    </w:pPr>
    <w:rPr>
      <w:rFonts w:eastAsiaTheme="minorHAnsi" w:cstheme="minorBidi"/>
      <w:color w:val="auto"/>
      <w:sz w:val="20"/>
      <w:szCs w:val="20"/>
      <w:lang w:eastAsia="en-US"/>
    </w:rPr>
  </w:style>
  <w:style w:type="character" w:customStyle="1" w:styleId="FotnotetekstTegn">
    <w:name w:val="Fotnotetekst Tegn"/>
    <w:basedOn w:val="DefaultParagraphFont"/>
    <w:link w:val="FootnoteText"/>
    <w:uiPriority w:val="99"/>
    <w:semiHidden/>
    <w:rsid w:val="00ED4BC6"/>
    <w:rPr>
      <w:rFonts w:eastAsiaTheme="minorHAnsi"/>
      <w:sz w:val="20"/>
      <w:szCs w:val="20"/>
      <w:lang w:eastAsia="en-US"/>
    </w:rPr>
  </w:style>
  <w:style w:type="character" w:styleId="FootnoteReference">
    <w:name w:val="footnote reference"/>
    <w:basedOn w:val="DefaultParagraphFont"/>
    <w:uiPriority w:val="99"/>
    <w:semiHidden/>
    <w:unhideWhenUsed/>
    <w:rsid w:val="00ED4BC6"/>
    <w:rPr>
      <w:vertAlign w:val="superscript"/>
    </w:rPr>
  </w:style>
  <w:style w:type="character" w:customStyle="1" w:styleId="Ulstomtale3">
    <w:name w:val="Uløst omtale3"/>
    <w:basedOn w:val="DefaultParagraphFont"/>
    <w:uiPriority w:val="99"/>
    <w:unhideWhenUsed/>
    <w:rsid w:val="00930B75"/>
    <w:rPr>
      <w:color w:val="605E5C"/>
      <w:shd w:val="clear" w:color="auto" w:fill="E1DFDD"/>
    </w:rPr>
  </w:style>
  <w:style w:type="character" w:customStyle="1" w:styleId="Omtale2">
    <w:name w:val="Omtale2"/>
    <w:basedOn w:val="DefaultParagraphFont"/>
    <w:uiPriority w:val="99"/>
    <w:unhideWhenUsed/>
    <w:rsid w:val="00930B75"/>
    <w:rPr>
      <w:color w:val="2B579A"/>
      <w:shd w:val="clear" w:color="auto" w:fill="E1DFDD"/>
    </w:rPr>
  </w:style>
  <w:style w:type="numbering" w:customStyle="1" w:styleId="Ingenliste1">
    <w:name w:val="Ingen liste1"/>
    <w:next w:val="NoList"/>
    <w:uiPriority w:val="99"/>
    <w:semiHidden/>
    <w:unhideWhenUsed/>
    <w:rsid w:val="00930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image" Target="media/image3.png" /><Relationship Id="rId12" Type="http://schemas.openxmlformats.org/officeDocument/2006/relationships/image" Target="media/image4.jpeg" /><Relationship Id="rId13" Type="http://schemas.openxmlformats.org/officeDocument/2006/relationships/image" Target="media/image5.jpeg" /><Relationship Id="rId14" Type="http://schemas.openxmlformats.org/officeDocument/2006/relationships/image" Target="media/image6.jpeg" /><Relationship Id="rId15" Type="http://schemas.openxmlformats.org/officeDocument/2006/relationships/hyperlink" Target="http://www.ren.no/"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endnotes" Target="endnote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jpeg" /></Relationships>
</file>

<file path=word/_rels/header1.xml.rels><?xml version="1.0" encoding="utf-8" standalone="yes"?><Relationships xmlns="http://schemas.openxmlformats.org/package/2006/relationships"><Relationship Id="rId1" Type="http://schemas.openxmlformats.org/officeDocument/2006/relationships/image" Target="media/image7.jpeg" /></Relationships>
</file>

<file path=word/_rels/header2.xml.rels><?xml version="1.0" encoding="utf-8" standalone="yes"?><Relationships xmlns="http://schemas.openxmlformats.org/package/2006/relationships"><Relationship Id="rId1" Type="http://schemas.openxmlformats.org/officeDocument/2006/relationships/image" Target="media/image8.jpeg" /></Relationships>
</file>

<file path=word/_rels/header3.xml.rels><?xml version="1.0" encoding="utf-8" standalone="yes"?><Relationships xmlns="http://schemas.openxmlformats.org/package/2006/relationships"><Relationship Id="rId1" Type="http://schemas.openxmlformats.org/officeDocument/2006/relationships/image" Target="media/image8.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NO\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43BA99D1B3114EB19E7D4C08499216" ma:contentTypeVersion="11" ma:contentTypeDescription="Create a new document." ma:contentTypeScope="" ma:versionID="58cbfdce8d4f64c809bca1136d979072">
  <xsd:schema xmlns:xsd="http://www.w3.org/2001/XMLSchema" xmlns:xs="http://www.w3.org/2001/XMLSchema" xmlns:p="http://schemas.microsoft.com/office/2006/metadata/properties" xmlns:ns3="7b4df2cf-fd83-41dd-81d4-5d4630c915ae" xmlns:ns4="6c6eacbd-7cae-4262-8c2d-07bb766c30b9" targetNamespace="http://schemas.microsoft.com/office/2006/metadata/properties" ma:root="true" ma:fieldsID="f4a94281e1b5d6028682659e80bb5f28" ns3:_="" ns4:_="">
    <xsd:import namespace="7b4df2cf-fd83-41dd-81d4-5d4630c915ae"/>
    <xsd:import namespace="6c6eacbd-7cae-4262-8c2d-07bb766c30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df2cf-fd83-41dd-81d4-5d4630c915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eacbd-7cae-4262-8c2d-07bb766c30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2FAAA-B21B-4B03-9252-75C6C997BFEB}">
  <ds:schemaRefs>
    <ds:schemaRef ds:uri="http://schemas.microsoft.com/office/2006/documentManagement/types"/>
    <ds:schemaRef ds:uri="http://schemas.microsoft.com/office/2006/metadata/properties"/>
    <ds:schemaRef ds:uri="http://purl.org/dc/elements/1.1/"/>
    <ds:schemaRef ds:uri="6c6eacbd-7cae-4262-8c2d-07bb766c30b9"/>
    <ds:schemaRef ds:uri="http://purl.org/dc/terms/"/>
    <ds:schemaRef ds:uri="http://schemas.microsoft.com/office/infopath/2007/PartnerControls"/>
    <ds:schemaRef ds:uri="7b4df2cf-fd83-41dd-81d4-5d4630c915ae"/>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2DDF73E-8701-450E-BD72-0A03DDBCFE5E}">
  <ds:schemaRefs>
    <ds:schemaRef ds:uri="http://schemas.microsoft.com/sharepoint/v3/contenttype/forms"/>
  </ds:schemaRefs>
</ds:datastoreItem>
</file>

<file path=customXml/itemProps3.xml><?xml version="1.0" encoding="utf-8"?>
<ds:datastoreItem xmlns:ds="http://schemas.openxmlformats.org/officeDocument/2006/customXml" ds:itemID="{5019461A-0D6A-4980-9B60-F8656451D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df2cf-fd83-41dd-81d4-5d4630c915ae"/>
    <ds:schemaRef ds:uri="6c6eacbd-7cae-4262-8c2d-07bb766c3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160</TotalTime>
  <Pages>13</Pages>
  <Words>5311</Words>
  <Characters>28151</Characters>
  <Application>Microsoft Office Word</Application>
  <DocSecurity>0</DocSecurity>
  <Lines>234</Lines>
  <Paragraphs>66</Paragraphs>
  <ScaleCrop>false</ScaleCrop>
  <HeadingPairs>
    <vt:vector size="2" baseType="variant">
      <vt:variant>
        <vt:lpstr>Tittel</vt:lpstr>
      </vt:variant>
      <vt:variant>
        <vt:i4>1</vt:i4>
      </vt:variant>
    </vt:vector>
  </HeadingPairs>
  <TitlesOfParts>
    <vt:vector size="1" baseType="lpstr">
      <vt:lpstr>Vilkår for Nettinvesteringer som utløser anleggsbidrag</vt:lpstr>
    </vt:vector>
  </TitlesOfParts>
  <Company/>
  <LinksUpToDate>false</LinksUpToDate>
  <CharactersWithSpaces>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Vilkår for Nettinvesteringer som utløser anleggsbidrag</dc:title>
  <dc:subject>000102010403|TS.K.1.4.3-02|</dc:subject>
  <dc:creator>Kristin Selvaag</dc:creator>
  <dc:description>EK_Avdeling_x0002_4_x0002__x0003_EK_Avsnitt_x0002_4_x0002__x0003_EK_Bedriftsnavn_x0002_1_x0002_Tensio_x0003_EK_GjelderFra_x0002_0_x0002__x0003_EK_KlGjelderFra_x0002_0_x0002__x0003_EK_Opprettet_x0002_0_x0002_27.11.2020_x0003_EK_Utgitt_x0002_0_x0002_19.01.2018_x0003_EK_IBrukDato_x0002_0_x0002_27.11.2020_x0003_EK_DokumentID_x0002_0_x0002_D09773_x0003_EK_DokTittel_x0002_0_x0002_Vilkår for Nettinvesteringer som utløser anleggsbidrag_x0003_EK_DokType_x0002_0_x0002_Vedlegg_x0003_EK_DocLvlShort_x0002_0_x0002__x0003_EK_DocLevel_x0002_0_x0002__x0003_EK_EksRef_x0002_2_x0002_ 0	_x0003_EK_Erstatter_x0002_0_x0002_0.00_x0003_EK_ErstatterD_x0002_0_x0002_19.01.2018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	_x0003_EK_RefNr_x0002_0_x0002_TS.K.1.4.3-02_x0003_EK_Revisjon_x0002_0_x0002_-_x0003_EK_Ansvarlig_x0002_0_x0002_Storvik, Terje_x0003_EK_SkrevetAv_x0002_0_x0002_Terje Storvik_x0003_EK_DokAnsvNAVN_x0002_0_x0002__x0003_EK_UText2_x0002_0_x0002__x0003_EK_UText3_x0002_0_x0002__x0003_EK_UText4_x0002_0_x0002__x0003_EK_Status_x0002_0_x0002_Endres_x0003_EK_Stikkord_x0002_0_x0002_forsyningsområde bunnfradrag gravearbeider reinvestering forsterkning_x0003_EK_SuperStikkord_x0002_0_x0002__x0003_EK_Rapport_x0002_3_x0002__x0003_EK_EKPrintMerke_x0002_0_x0002_Uoffisiell utskrift er kun gyldig på utskriftsdato_x0003_EK_Watermark_x0002_0_x0002__x0003_EK_Utgave_x0002_0_x0002_0.01_x0003_EK_Merknad_x0002_7_x0002_8.7.2021 NO: Fjernet henvisning til Dekar (grunneieravståelser) og satt inn DokID for dokumentet._x0003_EK_VerLogg_x0002_2_x0002_Ver. 0.01 - 27.11.2020|8.7.2021 NO: Fjernet henvisning til Dekar (grunneieravståelser) og satt inn DokID for dokumentet._x0001_Ver. 0.00 - 27.11.2020|27.11.2020 Dokument slettet og lastet inn på nytt igjen da vebgrensesnitt kom med linkt til Energi Norge sin standardavtale.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2_x0003_EK_GjelderTil_x0002_0_x0002_19.01.2022_x0003_EK_Vedlegg_x0002_2_x0002_ 0	_x0003_EK_AvdelingOver_x0002_4_x0002__x0003_EK_HRefNr_x0002_0_x0002__x0003_EK_HbNavn_x0002_0_x0002__x0003_EK_DokRefnr_x0002_4_x0002_000102010403_x0003_EK_Dokendrdato_x0002_4_x0002_01.07.2021 08:04:58_x0003_EK_HbType_x0002_4_x0002__x0003_EK_Offisiell_x0002_4_x0002__x0003_EK_VedleggRef_x0002_4_x0002_TS.K.1.4.3-02_x0003_EK_Strukt00_x0002_5_x0002__x0005_TS_x0005_TENSIO TS_x0005_0_x0005_0_x0004_._x0005_K_x0005_Kjerneprosesser TENSIO TS_x0005_1_x0005_0_x0004_._x0005_1_x0005_Styre  nettutbygging_x0005_1_x0005_0_x0004_._x0005_4_x0005_Avtaler_x0005_0_x0005_0_x0004_._x0005_3_x0005_Standard nettutbyggingsavtaler med standard vedlegg_x0005_0_x0005_0_x0004_\ _x0003_EK_Strukt01_x0002_5_x0002__x0005__x0005_TENSIO TS_x0005_2_x0005_0_x0004__x0005__x0005_Nettutbygging_x0005_2_x0005_0_x0004__x0005__x0005_NU-Prosjekt_x0005_2_x0005_0_x0004_\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TS_x0005_TENSIO TS_x0005_0_x0005_0_x0004_._x0005_K_x0005_Kjerneprosesser TENSIO TS_x0005_1_x0005_0_x0004_._x0005_1_x0005_Styre  nettutbygging_x0005_1_x0005_0_x0004_._x0005_4_x0005_Avtaler_x0005_0_x0005_0_x0004_._x0005_3_x0005_Standard nettutbyggingsavtaler med standard vedlegg_x0005_0_x0005_0_x0004_\ _x0003_</dc:description>
  <cp:lastModifiedBy>Ove Gunnar Sletten</cp:lastModifiedBy>
  <cp:revision>15</cp:revision>
  <cp:lastPrinted>2019-06-28T07:23:00Z</cp:lastPrinted>
  <dcterms:created xsi:type="dcterms:W3CDTF">2021-07-04T07:03:00Z</dcterms:created>
  <dcterms:modified xsi:type="dcterms:W3CDTF">2024-01-12T14:11:00Z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umentID">
    <vt:lpwstr>D09773</vt:lpwstr>
  </property>
  <property fmtid="{D5CDD505-2E9C-101B-9397-08002B2CF9AE}" pid="3" name="EK_RefNr">
    <vt:lpwstr>TSKK11-02</vt:lpwstr>
  </property>
  <property fmtid="{D5CDD505-2E9C-101B-9397-08002B2CF9AE}" pid="4" name="EK_Utgave">
    <vt:lpwstr>0.03</vt:lpwstr>
  </property>
</Properties>
</file>